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0"/>
      </w:pPr>
    </w:p>
    <w:p>
      <w:pPr>
        <w:pStyle w:val="12"/>
        <w:ind w:firstLine="964"/>
        <w:rPr>
          <w:rFonts w:ascii="黑体" w:hAnsi="黑体" w:eastAsia="黑体"/>
          <w:sz w:val="48"/>
          <w:szCs w:val="36"/>
        </w:rPr>
      </w:pPr>
      <w:bookmarkStart w:id="0" w:name="_Toc66350484"/>
      <w:bookmarkStart w:id="1" w:name="_Toc66271248"/>
      <w:bookmarkStart w:id="2" w:name="_Toc66272468"/>
      <w:bookmarkStart w:id="3" w:name="_Toc66272398"/>
      <w:bookmarkStart w:id="4" w:name="_Toc66271102"/>
      <w:r>
        <w:rPr>
          <w:rFonts w:hint="eastAsia" w:ascii="黑体" w:hAnsi="黑体" w:eastAsia="黑体"/>
          <w:sz w:val="48"/>
          <w:szCs w:val="36"/>
        </w:rPr>
        <w:t>航空航天学院首届“师生杯”羽毛球赛</w:t>
      </w:r>
      <w:bookmarkEnd w:id="0"/>
      <w:bookmarkEnd w:id="1"/>
      <w:bookmarkEnd w:id="2"/>
      <w:bookmarkEnd w:id="3"/>
      <w:bookmarkEnd w:id="4"/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60"/>
      </w:pPr>
    </w:p>
    <w:p>
      <w:pPr>
        <w:ind w:firstLine="552" w:firstLineChars="50"/>
        <w:jc w:val="center"/>
        <w:rPr>
          <w:b/>
          <w:sz w:val="110"/>
          <w:szCs w:val="110"/>
        </w:rPr>
      </w:pPr>
      <w:r>
        <w:rPr>
          <w:rFonts w:hint="eastAsia"/>
          <w:b/>
          <w:sz w:val="110"/>
          <w:szCs w:val="110"/>
        </w:rPr>
        <w:t>秩</w:t>
      </w:r>
    </w:p>
    <w:p>
      <w:pPr>
        <w:ind w:firstLine="552" w:firstLineChars="50"/>
        <w:jc w:val="center"/>
        <w:rPr>
          <w:b/>
          <w:sz w:val="110"/>
          <w:szCs w:val="110"/>
        </w:rPr>
      </w:pPr>
      <w:r>
        <w:rPr>
          <w:rFonts w:hint="eastAsia"/>
          <w:b/>
          <w:sz w:val="110"/>
          <w:szCs w:val="110"/>
        </w:rPr>
        <w:t>序</w:t>
      </w:r>
    </w:p>
    <w:p>
      <w:pPr>
        <w:ind w:firstLine="552" w:firstLineChars="50"/>
        <w:jc w:val="center"/>
        <w:rPr>
          <w:b/>
          <w:sz w:val="110"/>
          <w:szCs w:val="110"/>
        </w:rPr>
      </w:pPr>
      <w:r>
        <w:rPr>
          <w:rFonts w:hint="eastAsia"/>
          <w:b/>
          <w:sz w:val="110"/>
          <w:szCs w:val="110"/>
        </w:rPr>
        <w:t>册</w:t>
      </w:r>
    </w:p>
    <w:p>
      <w:pPr>
        <w:ind w:firstLine="560"/>
      </w:pPr>
    </w:p>
    <w:p>
      <w:pPr>
        <w:ind w:firstLine="0" w:firstLineChars="0"/>
      </w:pPr>
    </w:p>
    <w:p>
      <w:pPr>
        <w:ind w:firstLine="0" w:firstLineChars="0"/>
        <w:rPr>
          <w:rFonts w:ascii="黑体" w:hAnsi="黑体" w:eastAsia="黑体"/>
          <w:sz w:val="44"/>
          <w:szCs w:val="44"/>
        </w:rPr>
      </w:pPr>
    </w:p>
    <w:p>
      <w:pPr>
        <w:ind w:firstLine="0" w:firstLineChars="0"/>
        <w:rPr>
          <w:rFonts w:ascii="黑体" w:hAnsi="黑体" w:eastAsia="黑体"/>
          <w:sz w:val="44"/>
          <w:szCs w:val="44"/>
        </w:rPr>
      </w:pPr>
    </w:p>
    <w:p>
      <w:pPr>
        <w:ind w:firstLine="0" w:firstLineChars="0"/>
        <w:rPr>
          <w:rFonts w:ascii="黑体" w:hAnsi="黑体" w:eastAsia="黑体"/>
          <w:sz w:val="44"/>
          <w:szCs w:val="44"/>
        </w:rPr>
      </w:pPr>
    </w:p>
    <w:p>
      <w:pPr>
        <w:ind w:firstLine="0" w:firstLineChars="0"/>
        <w:jc w:val="center"/>
        <w:rPr>
          <w:rFonts w:ascii="楷体" w:hAnsi="楷体" w:eastAsia="楷体"/>
          <w:b/>
          <w:sz w:val="32"/>
          <w:szCs w:val="32"/>
        </w:rPr>
      </w:pPr>
      <w:r>
        <w:rPr>
          <w:rFonts w:hint="eastAsia" w:ascii="楷体" w:hAnsi="楷体" w:eastAsia="楷体"/>
          <w:b/>
          <w:sz w:val="32"/>
          <w:szCs w:val="32"/>
        </w:rPr>
        <w:t>中南大学航空航天学院</w:t>
      </w:r>
    </w:p>
    <w:p>
      <w:pPr>
        <w:ind w:firstLine="0" w:firstLineChars="0"/>
        <w:jc w:val="center"/>
        <w:rPr>
          <w:rFonts w:ascii="楷体" w:hAnsi="楷体" w:eastAsia="楷体"/>
          <w:b/>
          <w:sz w:val="32"/>
          <w:szCs w:val="32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418" w:bottom="1440" w:left="1418" w:header="851" w:footer="992" w:gutter="0"/>
          <w:cols w:space="425" w:num="1"/>
          <w:docGrid w:type="lines" w:linePitch="312" w:charSpace="0"/>
        </w:sectPr>
      </w:pPr>
      <w:r>
        <w:rPr>
          <w:rFonts w:ascii="楷体" w:hAnsi="楷体" w:eastAsia="楷体"/>
          <w:b/>
          <w:sz w:val="32"/>
          <w:szCs w:val="32"/>
        </w:rPr>
        <w:t>二〇二一年</w:t>
      </w:r>
      <w:r>
        <w:rPr>
          <w:rFonts w:hint="eastAsia" w:ascii="楷体" w:hAnsi="楷体" w:eastAsia="楷体"/>
          <w:b/>
          <w:sz w:val="32"/>
          <w:szCs w:val="32"/>
        </w:rPr>
        <w:t>四月</w:t>
      </w:r>
    </w:p>
    <w:p>
      <w:pPr>
        <w:ind w:firstLine="0" w:firstLineChars="0"/>
        <w:jc w:val="center"/>
        <w:rPr>
          <w:rFonts w:ascii="黑体" w:hAnsi="黑体" w:eastAsia="黑体"/>
          <w:b/>
          <w:sz w:val="36"/>
          <w:szCs w:val="36"/>
        </w:rPr>
      </w:pPr>
      <w:r>
        <w:rPr>
          <w:rFonts w:hint="eastAsia" w:ascii="黑体" w:hAnsi="黑体" w:eastAsia="黑体"/>
          <w:b/>
          <w:sz w:val="36"/>
          <w:szCs w:val="36"/>
        </w:rPr>
        <w:t>目录</w:t>
      </w:r>
    </w:p>
    <w:sdt>
      <w:sdtPr>
        <w:rPr>
          <w:lang w:val="zh-CN"/>
        </w:rPr>
        <w:id w:val="-212273400"/>
        <w:docPartObj>
          <w:docPartGallery w:val="Table of Contents"/>
          <w:docPartUnique/>
        </w:docPartObj>
      </w:sdtPr>
      <w:sdtEndPr>
        <w:rPr>
          <w:b/>
          <w:bCs/>
          <w:sz w:val="32"/>
          <w:lang w:val="zh-CN"/>
        </w:rPr>
      </w:sdtEndPr>
      <w:sdtContent>
        <w:p>
          <w:pPr>
            <w:pStyle w:val="9"/>
            <w:tabs>
              <w:tab w:val="left" w:pos="1512"/>
            </w:tabs>
            <w:spacing w:after="312" w:afterLines="100"/>
            <w:ind w:firstLine="560"/>
            <w:rPr>
              <w:rStyle w:val="16"/>
              <w:color w:val="auto"/>
              <w:u w:val="none"/>
            </w:rPr>
          </w:pPr>
          <w:bookmarkStart w:id="5" w:name="_Toc66271103"/>
          <w:r>
            <w:rPr>
              <w:b/>
              <w:sz w:val="32"/>
            </w:rPr>
            <w:fldChar w:fldCharType="begin"/>
          </w:r>
          <w:r>
            <w:rPr>
              <w:b/>
              <w:sz w:val="32"/>
            </w:rPr>
            <w:instrText xml:space="preserve"> TOC \o "1-3" \h \z \u </w:instrText>
          </w:r>
          <w:r>
            <w:rPr>
              <w:b/>
              <w:sz w:val="32"/>
            </w:rPr>
            <w:fldChar w:fldCharType="separate"/>
          </w:r>
        </w:p>
        <w:p>
          <w:pPr>
            <w:pStyle w:val="9"/>
            <w:tabs>
              <w:tab w:val="left" w:pos="1470"/>
              <w:tab w:val="right" w:leader="dot" w:pos="8296"/>
            </w:tabs>
            <w:spacing w:after="312" w:afterLines="100"/>
            <w:ind w:firstLine="56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"_Toc66350485" </w:instrText>
          </w:r>
          <w:r>
            <w:fldChar w:fldCharType="separate"/>
          </w:r>
          <w:r>
            <w:rPr>
              <w:rStyle w:val="16"/>
              <w:rFonts w:hint="eastAsia"/>
            </w:rPr>
            <w:t>一、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16"/>
              <w:rFonts w:hint="eastAsia"/>
            </w:rPr>
            <w:t>主办及承办单位</w:t>
          </w:r>
          <w:r>
            <w:tab/>
          </w:r>
          <w:r>
            <w:fldChar w:fldCharType="begin"/>
          </w:r>
          <w:r>
            <w:instrText xml:space="preserve"> PAGEREF _Toc66350485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spacing w:after="312" w:afterLines="100"/>
            <w:ind w:firstLine="56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"_Toc66350486" </w:instrText>
          </w:r>
          <w:r>
            <w:fldChar w:fldCharType="separate"/>
          </w:r>
          <w:r>
            <w:rPr>
              <w:rStyle w:val="16"/>
              <w:rFonts w:hint="eastAsia"/>
            </w:rPr>
            <w:t>二、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16"/>
              <w:rFonts w:hint="eastAsia"/>
            </w:rPr>
            <w:t>活动流程</w:t>
          </w:r>
          <w:r>
            <w:tab/>
          </w:r>
          <w:r>
            <w:fldChar w:fldCharType="begin"/>
          </w:r>
          <w:r>
            <w:instrText xml:space="preserve"> PAGEREF _Toc66350486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spacing w:after="312" w:afterLines="100"/>
            <w:ind w:firstLine="56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"_Toc66350487" </w:instrText>
          </w:r>
          <w:r>
            <w:fldChar w:fldCharType="separate"/>
          </w:r>
          <w:r>
            <w:rPr>
              <w:rStyle w:val="16"/>
              <w:rFonts w:hint="eastAsia"/>
            </w:rPr>
            <w:t>三、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16"/>
              <w:rFonts w:hint="eastAsia"/>
            </w:rPr>
            <w:t>参加方法</w:t>
          </w:r>
          <w:r>
            <w:tab/>
          </w:r>
          <w:r>
            <w:fldChar w:fldCharType="begin"/>
          </w:r>
          <w:r>
            <w:instrText xml:space="preserve"> PAGEREF _Toc66350487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spacing w:after="312" w:afterLines="100"/>
            <w:ind w:firstLine="56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"_Toc66350488" </w:instrText>
          </w:r>
          <w:r>
            <w:fldChar w:fldCharType="separate"/>
          </w:r>
          <w:r>
            <w:rPr>
              <w:rStyle w:val="16"/>
              <w:rFonts w:hint="eastAsia"/>
            </w:rPr>
            <w:t>四、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16"/>
              <w:rFonts w:hint="eastAsia"/>
            </w:rPr>
            <w:t>竞赛规程</w:t>
          </w:r>
          <w:r>
            <w:tab/>
          </w:r>
          <w:r>
            <w:fldChar w:fldCharType="begin"/>
          </w:r>
          <w:r>
            <w:instrText xml:space="preserve"> PAGEREF _Toc66350488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spacing w:after="312" w:afterLines="100"/>
            <w:ind w:firstLine="56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"_Toc66350489" </w:instrText>
          </w:r>
          <w:r>
            <w:fldChar w:fldCharType="separate"/>
          </w:r>
          <w:r>
            <w:rPr>
              <w:rStyle w:val="16"/>
              <w:rFonts w:hint="eastAsia"/>
            </w:rPr>
            <w:t>五、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16"/>
              <w:rFonts w:hint="eastAsia"/>
            </w:rPr>
            <w:t>赛制</w:t>
          </w:r>
          <w:r>
            <w:tab/>
          </w:r>
          <w:r>
            <w:fldChar w:fldCharType="begin"/>
          </w:r>
          <w:r>
            <w:instrText xml:space="preserve"> PAGEREF _Toc66350489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spacing w:after="312" w:afterLines="100"/>
            <w:ind w:firstLine="56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"_Toc66350490" </w:instrText>
          </w:r>
          <w:r>
            <w:fldChar w:fldCharType="separate"/>
          </w:r>
          <w:r>
            <w:rPr>
              <w:rStyle w:val="16"/>
              <w:rFonts w:hint="eastAsia"/>
            </w:rPr>
            <w:t>六、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16"/>
              <w:rFonts w:hint="eastAsia"/>
            </w:rPr>
            <w:t>仲裁委员会与裁判员</w:t>
          </w:r>
          <w:r>
            <w:tab/>
          </w:r>
          <w:r>
            <w:fldChar w:fldCharType="begin"/>
          </w:r>
          <w:r>
            <w:instrText xml:space="preserve"> PAGEREF _Toc66350490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spacing w:after="312" w:afterLines="100"/>
            <w:ind w:firstLine="56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"_Toc66350491" </w:instrText>
          </w:r>
          <w:r>
            <w:fldChar w:fldCharType="separate"/>
          </w:r>
          <w:r>
            <w:rPr>
              <w:rStyle w:val="16"/>
              <w:rFonts w:hint="eastAsia"/>
            </w:rPr>
            <w:t>七、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16"/>
              <w:rFonts w:hint="eastAsia"/>
            </w:rPr>
            <w:t>奖项设置</w:t>
          </w:r>
          <w:r>
            <w:tab/>
          </w:r>
          <w:r>
            <w:fldChar w:fldCharType="begin"/>
          </w:r>
          <w:r>
            <w:instrText xml:space="preserve"> PAGEREF _Toc66350491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spacing w:after="312" w:afterLines="100"/>
            <w:ind w:firstLine="560"/>
            <w:rPr>
              <w:rFonts w:asciiTheme="minorHAnsi" w:hAnsiTheme="minorHAnsi" w:eastAsiaTheme="minorEastAsia" w:cstheme="minorBidi"/>
              <w:sz w:val="21"/>
              <w:szCs w:val="22"/>
            </w:rPr>
          </w:pPr>
          <w:r>
            <w:fldChar w:fldCharType="begin"/>
          </w:r>
          <w:r>
            <w:instrText xml:space="preserve"> HYPERLINK \l "_Toc66350492" </w:instrText>
          </w:r>
          <w:r>
            <w:fldChar w:fldCharType="separate"/>
          </w:r>
          <w:r>
            <w:rPr>
              <w:rStyle w:val="16"/>
              <w:rFonts w:hint="eastAsia"/>
            </w:rPr>
            <w:t>八、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16"/>
              <w:rFonts w:hint="eastAsia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_Toc66350492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680"/>
              <w:tab w:val="right" w:leader="dot" w:pos="8296"/>
            </w:tabs>
            <w:spacing w:after="312" w:afterLines="100"/>
            <w:ind w:firstLine="560"/>
          </w:pPr>
          <w:r>
            <w:fldChar w:fldCharType="begin"/>
          </w:r>
          <w:r>
            <w:instrText xml:space="preserve"> HYPERLINK \l "_Toc66350496" </w:instrText>
          </w:r>
          <w:r>
            <w:fldChar w:fldCharType="separate"/>
          </w:r>
          <w:r>
            <w:rPr>
              <w:rStyle w:val="16"/>
              <w:rFonts w:hint="eastAsia"/>
              <w:lang w:val="en-US" w:eastAsia="zh-CN"/>
            </w:rPr>
            <w:t>九</w:t>
          </w:r>
          <w:r>
            <w:rPr>
              <w:rStyle w:val="16"/>
              <w:rFonts w:hint="eastAsia"/>
            </w:rPr>
            <w:t>、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16"/>
              <w:rFonts w:hint="eastAsia"/>
            </w:rPr>
            <w:t>竞赛分组</w:t>
          </w:r>
          <w:r>
            <w:tab/>
          </w:r>
          <w:r>
            <w:fldChar w:fldCharType="begin"/>
          </w:r>
          <w:r>
            <w:instrText xml:space="preserve"> PAGEREF _Toc66350496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680"/>
              <w:tab w:val="right" w:leader="dot" w:pos="8296"/>
            </w:tabs>
            <w:spacing w:after="312" w:afterLines="100"/>
            <w:ind w:firstLine="560"/>
          </w:pPr>
          <w:r>
            <w:fldChar w:fldCharType="begin"/>
          </w:r>
          <w:r>
            <w:instrText xml:space="preserve"> HYPERLINK \l "_Toc66350496" </w:instrText>
          </w:r>
          <w:r>
            <w:fldChar w:fldCharType="separate"/>
          </w:r>
          <w:r>
            <w:rPr>
              <w:rStyle w:val="16"/>
              <w:rFonts w:hint="eastAsia"/>
            </w:rPr>
            <w:t>十、</w:t>
          </w:r>
          <w:r>
            <w:rPr>
              <w:rFonts w:asciiTheme="minorHAnsi" w:hAnsiTheme="minorHAnsi" w:eastAsiaTheme="minorEastAsia" w:cstheme="minorBidi"/>
              <w:sz w:val="21"/>
              <w:szCs w:val="22"/>
            </w:rPr>
            <w:tab/>
          </w:r>
          <w:r>
            <w:rPr>
              <w:rStyle w:val="16"/>
              <w:rFonts w:hint="eastAsia"/>
            </w:rPr>
            <w:t>淘汰赛决赛赛程</w:t>
          </w:r>
          <w:r>
            <w:tab/>
          </w:r>
          <w:r>
            <w:fldChar w:fldCharType="begin"/>
          </w:r>
          <w:r>
            <w:instrText xml:space="preserve"> PAGEREF _Toc66350496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ind w:firstLine="560"/>
          </w:pPr>
        </w:p>
        <w:p>
          <w:pPr>
            <w:spacing w:after="312" w:afterLines="100"/>
            <w:ind w:firstLine="0" w:firstLineChars="0"/>
            <w:rPr>
              <w:b/>
              <w:bCs/>
              <w:sz w:val="32"/>
              <w:lang w:val="zh-CN"/>
            </w:rPr>
          </w:pPr>
          <w:r>
            <w:rPr>
              <w:b/>
              <w:bCs/>
              <w:sz w:val="32"/>
              <w:lang w:val="zh-CN"/>
            </w:rPr>
            <w:fldChar w:fldCharType="end"/>
          </w:r>
        </w:p>
        <w:p>
          <w:pPr>
            <w:spacing w:after="312" w:afterLines="100"/>
            <w:ind w:firstLine="0" w:firstLineChars="0"/>
            <w:rPr>
              <w:b/>
              <w:bCs/>
              <w:sz w:val="32"/>
              <w:lang w:val="zh-CN"/>
            </w:rPr>
          </w:pPr>
        </w:p>
        <w:p>
          <w:pPr>
            <w:spacing w:after="312" w:afterLines="100"/>
            <w:ind w:firstLine="0" w:firstLineChars="0"/>
            <w:rPr>
              <w:b/>
              <w:bCs/>
              <w:sz w:val="32"/>
              <w:lang w:val="zh-CN"/>
            </w:rPr>
          </w:pPr>
          <w:bookmarkStart w:id="28" w:name="_GoBack"/>
          <w:bookmarkEnd w:id="28"/>
        </w:p>
      </w:sdtContent>
    </w:sdt>
    <w:p>
      <w:pPr>
        <w:pStyle w:val="17"/>
        <w:spacing w:before="312" w:after="312"/>
      </w:pPr>
      <w:bookmarkStart w:id="6" w:name="_Toc66350485"/>
      <w:r>
        <w:rPr>
          <w:rFonts w:hint="eastAsia"/>
        </w:rPr>
        <w:t>主办及承办单位</w:t>
      </w:r>
      <w:bookmarkEnd w:id="6"/>
    </w:p>
    <w:p>
      <w:pPr>
        <w:ind w:firstLine="560"/>
        <w:jc w:val="left"/>
        <w:rPr>
          <w:rFonts w:ascii="宋体" w:hAnsi="宋体"/>
          <w:bCs/>
        </w:rPr>
      </w:pPr>
      <w:r>
        <w:rPr>
          <w:rFonts w:hint="eastAsia" w:ascii="宋体" w:hAnsi="宋体"/>
          <w:bCs/>
        </w:rPr>
        <w:t>主办：中南大学航空航天学院</w:t>
      </w:r>
    </w:p>
    <w:p>
      <w:pPr>
        <w:ind w:firstLine="560"/>
        <w:jc w:val="left"/>
        <w:rPr>
          <w:rFonts w:ascii="宋体" w:hAnsi="宋体"/>
          <w:bCs/>
        </w:rPr>
      </w:pPr>
      <w:r>
        <w:rPr>
          <w:rFonts w:hint="eastAsia" w:ascii="宋体" w:hAnsi="宋体"/>
          <w:bCs/>
        </w:rPr>
        <w:t>承办：航空航天学院团学会、航空航天学院羽毛球队</w:t>
      </w:r>
    </w:p>
    <w:p>
      <w:pPr>
        <w:pStyle w:val="17"/>
        <w:spacing w:before="312" w:after="312"/>
      </w:pPr>
      <w:bookmarkStart w:id="7" w:name="_Toc66350486"/>
      <w:r>
        <w:t>活动流程</w:t>
      </w:r>
      <w:bookmarkEnd w:id="5"/>
      <w:bookmarkEnd w:id="7"/>
    </w:p>
    <w:p>
      <w:pPr>
        <w:ind w:firstLine="560"/>
      </w:pPr>
      <w:r>
        <w:rPr>
          <w:rFonts w:hint="eastAsia" w:ascii="黑体" w:hAnsi="黑体" w:eastAsia="黑体"/>
          <w:bCs/>
        </w:rPr>
        <w:t>时    间：</w:t>
      </w:r>
      <w:r>
        <w:t>20</w:t>
      </w:r>
      <w:r>
        <w:rPr>
          <w:rFonts w:hint="eastAsia"/>
        </w:rPr>
        <w:t>21</w:t>
      </w:r>
      <w:r>
        <w:t>年</w:t>
      </w:r>
      <w:r>
        <w:rPr>
          <w:rFonts w:hint="eastAsia"/>
        </w:rPr>
        <w:t>4月17</w:t>
      </w:r>
      <w:r>
        <w:t>日（周</w:t>
      </w:r>
      <w:r>
        <w:rPr>
          <w:rFonts w:hint="eastAsia"/>
        </w:rPr>
        <w:t>六</w:t>
      </w:r>
      <w:r>
        <w:t>）</w:t>
      </w:r>
      <w:r>
        <w:rPr>
          <w:rFonts w:hint="eastAsia"/>
        </w:rPr>
        <w:t>8:30</w:t>
      </w:r>
    </w:p>
    <w:p>
      <w:pPr>
        <w:ind w:firstLine="560"/>
        <w:rPr>
          <w:rFonts w:eastAsia="楷体_GB2312"/>
        </w:rPr>
      </w:pPr>
      <w:r>
        <w:rPr>
          <w:rFonts w:hint="eastAsia" w:ascii="黑体" w:hAnsi="黑体" w:eastAsia="黑体"/>
          <w:bCs/>
        </w:rPr>
        <w:t>地    点：</w:t>
      </w:r>
      <w:r>
        <w:rPr>
          <w:rFonts w:hint="eastAsia"/>
        </w:rPr>
        <w:t>中南大学南校区乒羽馆</w:t>
      </w:r>
    </w:p>
    <w:p>
      <w:pPr>
        <w:ind w:firstLine="560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bCs/>
          <w:color w:val="000000" w:themeColor="text1"/>
          <w14:textFill>
            <w14:solidFill>
              <w14:schemeClr w14:val="tx1"/>
            </w14:solidFill>
          </w14:textFill>
        </w:rPr>
        <w:t>流    程</w:t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>
      <w:pPr>
        <w:ind w:firstLine="840" w:firstLineChars="300"/>
      </w:pPr>
      <w:bookmarkStart w:id="8" w:name="_Toc10768"/>
      <w:r>
        <w:rPr>
          <w:rFonts w:hint="eastAsia"/>
        </w:rPr>
        <w:t>1.</w:t>
      </w:r>
      <w:r>
        <w:t>各代表队入场</w:t>
      </w:r>
    </w:p>
    <w:p>
      <w:pPr>
        <w:ind w:firstLine="840" w:firstLineChars="300"/>
      </w:pPr>
      <w:r>
        <w:rPr>
          <w:rFonts w:hint="eastAsia"/>
        </w:rPr>
        <w:t>2.</w:t>
      </w:r>
      <w:r>
        <w:t>宣布球场安全注意事项及防疫要求</w:t>
      </w:r>
    </w:p>
    <w:p>
      <w:pPr>
        <w:ind w:firstLine="840" w:firstLineChars="300"/>
      </w:pPr>
      <w:r>
        <w:rPr>
          <w:rFonts w:hint="eastAsia"/>
        </w:rPr>
        <w:t>3.运动员宣誓</w:t>
      </w:r>
    </w:p>
    <w:p>
      <w:pPr>
        <w:ind w:firstLine="840" w:firstLineChars="300"/>
      </w:pPr>
      <w:r>
        <w:rPr>
          <w:rFonts w:hint="eastAsia"/>
        </w:rPr>
        <w:t>4.学院领导宣布比赛开幕</w:t>
      </w:r>
    </w:p>
    <w:p>
      <w:pPr>
        <w:ind w:firstLine="840" w:firstLineChars="300"/>
      </w:pPr>
      <w:r>
        <w:rPr>
          <w:rFonts w:hint="eastAsia"/>
        </w:rPr>
        <w:t>5.比赛结束，颁奖总结</w:t>
      </w:r>
    </w:p>
    <w:p>
      <w:pPr>
        <w:pStyle w:val="17"/>
        <w:spacing w:before="312" w:after="312"/>
      </w:pPr>
      <w:bookmarkStart w:id="9" w:name="_Toc66350487"/>
      <w:r>
        <w:rPr>
          <w:rFonts w:hint="eastAsia"/>
        </w:rPr>
        <w:t>参加方法</w:t>
      </w:r>
      <w:bookmarkEnd w:id="9"/>
    </w:p>
    <w:p>
      <w:pPr>
        <w:ind w:firstLine="560"/>
      </w:pPr>
      <w:r>
        <w:rPr>
          <w:rFonts w:hint="eastAsia"/>
        </w:rPr>
        <w:t xml:space="preserve">1.航空航天学院全日制本科生、研究生、留学生等在校生，以及我院在职的教职工均可参与； </w:t>
      </w:r>
    </w:p>
    <w:p>
      <w:pPr>
        <w:ind w:firstLine="560"/>
      </w:pPr>
      <w:r>
        <w:rPr>
          <w:rFonts w:hint="eastAsia"/>
        </w:rPr>
        <w:t xml:space="preserve">2.每个班级需派出一个队伍参赛； </w:t>
      </w:r>
    </w:p>
    <w:p>
      <w:pPr>
        <w:ind w:firstLine="560"/>
      </w:pPr>
      <w:r>
        <w:rPr>
          <w:rFonts w:hint="eastAsia"/>
        </w:rPr>
        <w:t xml:space="preserve">3.每队最多8人，其中包括领队1人、队员7人。领队可以参赛，老师必须1人及以上； </w:t>
      </w:r>
    </w:p>
    <w:p>
      <w:pPr>
        <w:ind w:firstLine="560"/>
      </w:pPr>
      <w:r>
        <w:rPr>
          <w:rFonts w:hint="eastAsia"/>
        </w:rPr>
        <w:t>4.参赛人员必须身体健康，无高血压、心脏病等不适宜参加运动的情况；</w:t>
      </w:r>
    </w:p>
    <w:p>
      <w:pPr>
        <w:ind w:firstLine="560"/>
      </w:pPr>
      <w:r>
        <w:rPr>
          <w:rFonts w:hint="eastAsia"/>
        </w:rPr>
        <w:t>5.报名方式：由各班级班长组织，下载附件2报名表填报参赛选手信息，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在4月10日前发送航院文体部。</w:t>
      </w:r>
    </w:p>
    <w:p>
      <w:pPr>
        <w:pStyle w:val="17"/>
        <w:spacing w:before="312" w:after="312"/>
      </w:pPr>
      <w:bookmarkStart w:id="10" w:name="_Toc66350488"/>
      <w:bookmarkStart w:id="11" w:name="_Toc66271104"/>
      <w:r>
        <w:rPr>
          <w:rFonts w:hint="eastAsia"/>
        </w:rPr>
        <w:t>竞赛规程</w:t>
      </w:r>
      <w:bookmarkEnd w:id="8"/>
      <w:bookmarkEnd w:id="10"/>
      <w:bookmarkEnd w:id="11"/>
    </w:p>
    <w:p>
      <w:pPr>
        <w:ind w:left="560" w:firstLine="0" w:firstLineChars="0"/>
      </w:pPr>
      <w:r>
        <w:rPr>
          <w:rFonts w:hint="eastAsia"/>
        </w:rPr>
        <w:t>1.</w:t>
      </w:r>
      <w:r>
        <w:t>竞赛</w:t>
      </w:r>
      <w:r>
        <w:rPr>
          <w:rFonts w:hint="eastAsia"/>
        </w:rPr>
        <w:t>日期：2021年4月17日(周六上午)</w:t>
      </w:r>
    </w:p>
    <w:p>
      <w:pPr>
        <w:ind w:firstLine="560" w:firstLineChars="0"/>
      </w:pPr>
      <w:r>
        <w:rPr>
          <w:rFonts w:hint="eastAsia"/>
        </w:rPr>
        <w:t>2.竞赛</w:t>
      </w:r>
      <w:r>
        <w:t>时间：</w:t>
      </w:r>
      <w:r>
        <w:rPr>
          <w:rFonts w:hint="eastAsia"/>
        </w:rPr>
        <w:t xml:space="preserve">小组赛  </w:t>
      </w:r>
      <w:r>
        <w:t xml:space="preserve">  </w:t>
      </w:r>
      <w:r>
        <w:rPr>
          <w:rFonts w:hint="eastAsia"/>
        </w:rPr>
        <w:t xml:space="preserve">  </w:t>
      </w:r>
      <w:r>
        <w:t xml:space="preserve"> </w:t>
      </w:r>
      <w:r>
        <w:rPr>
          <w:rFonts w:hint="eastAsia"/>
        </w:rPr>
        <w:t xml:space="preserve">  8:30-10:30</w:t>
      </w:r>
    </w:p>
    <w:p>
      <w:pPr>
        <w:pStyle w:val="19"/>
        <w:ind w:firstLine="2240" w:firstLineChars="800"/>
      </w:pPr>
      <w:r>
        <w:rPr>
          <w:rFonts w:hint="eastAsia"/>
        </w:rPr>
        <w:t>淘汰赛、决赛   9:40-12:00</w:t>
      </w:r>
    </w:p>
    <w:p>
      <w:pPr>
        <w:ind w:firstLine="560"/>
      </w:pPr>
      <w:r>
        <w:t>3</w:t>
      </w:r>
      <w:r>
        <w:rPr>
          <w:rFonts w:hint="eastAsia"/>
        </w:rPr>
        <w:t>.竞赛地点：中南大学南校区乒羽馆</w:t>
      </w:r>
    </w:p>
    <w:p>
      <w:pPr>
        <w:ind w:firstLine="560"/>
      </w:pPr>
      <w:bookmarkStart w:id="12" w:name="_Toc66271106"/>
      <w:bookmarkStart w:id="13" w:name="_Toc29945"/>
      <w:r>
        <w:rPr>
          <w:rFonts w:hint="eastAsia"/>
        </w:rPr>
        <w:t>4.参赛单位</w:t>
      </w:r>
      <w:bookmarkEnd w:id="12"/>
      <w:bookmarkEnd w:id="13"/>
    </w:p>
    <w:p>
      <w:pPr>
        <w:ind w:firstLine="560"/>
      </w:pPr>
      <w:r>
        <w:rPr>
          <w:rFonts w:hint="eastAsia"/>
        </w:rPr>
        <w:t>航空航天类2001、航空航天类2002、航空航天类2003、航空航天类2004、航</w:t>
      </w:r>
      <w:r>
        <w:rPr>
          <w:rFonts w:hint="eastAsia"/>
          <w:lang w:val="en-US" w:eastAsia="zh-CN"/>
        </w:rPr>
        <w:t>工</w:t>
      </w:r>
      <w:r>
        <w:rPr>
          <w:rFonts w:hint="eastAsia"/>
        </w:rPr>
        <w:t>1901、</w:t>
      </w:r>
      <w:r>
        <w:rPr>
          <w:rFonts w:hint="eastAsia"/>
          <w:lang w:val="en-US" w:eastAsia="zh-CN"/>
        </w:rPr>
        <w:t>探控</w:t>
      </w:r>
      <w:r>
        <w:rPr>
          <w:rFonts w:hint="eastAsia"/>
        </w:rPr>
        <w:t>1901、航</w:t>
      </w:r>
      <w:r>
        <w:rPr>
          <w:rFonts w:hint="eastAsia"/>
          <w:lang w:val="en-US" w:eastAsia="zh-CN"/>
        </w:rPr>
        <w:t>工</w:t>
      </w:r>
      <w:r>
        <w:rPr>
          <w:rFonts w:hint="eastAsia"/>
        </w:rPr>
        <w:t>1801、探控1801、航</w:t>
      </w:r>
      <w:r>
        <w:rPr>
          <w:rFonts w:hint="eastAsia"/>
          <w:lang w:val="en-US" w:eastAsia="zh-CN"/>
        </w:rPr>
        <w:t>工</w:t>
      </w:r>
      <w:r>
        <w:rPr>
          <w:rFonts w:hint="eastAsia"/>
        </w:rPr>
        <w:t>1701、探控1701、研一、研二、研三共13支队伍。</w:t>
      </w:r>
    </w:p>
    <w:p>
      <w:pPr>
        <w:ind w:firstLine="560"/>
      </w:pPr>
      <w:bookmarkStart w:id="14" w:name="_Toc13672"/>
      <w:bookmarkStart w:id="15" w:name="_Toc66271107"/>
      <w:r>
        <w:rPr>
          <w:rFonts w:hint="eastAsia"/>
        </w:rPr>
        <w:t>5.竞赛项目</w:t>
      </w:r>
      <w:bookmarkEnd w:id="14"/>
      <w:bookmarkEnd w:id="15"/>
    </w:p>
    <w:p>
      <w:pPr>
        <w:ind w:firstLine="560"/>
      </w:pPr>
      <w:r>
        <w:rPr>
          <w:rFonts w:hint="eastAsia"/>
        </w:rPr>
        <w:t>混合团体赛（包括</w:t>
      </w:r>
      <w:r>
        <w:rPr>
          <w:rFonts w:hint="eastAsia"/>
          <w:color w:val="FF0000"/>
        </w:rPr>
        <w:t>男双、混双A、混双B</w:t>
      </w:r>
      <w:r>
        <w:rPr>
          <w:rFonts w:hint="eastAsia"/>
        </w:rPr>
        <w:t>，三个项目）</w:t>
      </w:r>
    </w:p>
    <w:p>
      <w:pPr>
        <w:pStyle w:val="17"/>
        <w:spacing w:before="312" w:after="312"/>
      </w:pPr>
      <w:bookmarkStart w:id="16" w:name="_Toc66350489"/>
      <w:bookmarkStart w:id="17" w:name="_Toc66271108"/>
      <w:r>
        <w:rPr>
          <w:rFonts w:hint="eastAsia"/>
        </w:rPr>
        <w:t>赛制</w:t>
      </w:r>
      <w:bookmarkEnd w:id="16"/>
      <w:bookmarkEnd w:id="17"/>
    </w:p>
    <w:p>
      <w:pPr>
        <w:ind w:firstLine="560"/>
      </w:pPr>
      <w:r>
        <w:rPr>
          <w:rFonts w:hint="eastAsia"/>
        </w:rPr>
        <w:t>1.每轮比赛的竞赛顺序为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男双、混双A、混双B</w:t>
      </w:r>
      <w:r>
        <w:rPr>
          <w:rFonts w:hint="eastAsia"/>
        </w:rPr>
        <w:t>。若没有特殊原因，不允许更换比赛顺序。若一方需要更换比赛顺序，需与对手和裁判、裁判长达成共识；</w:t>
      </w:r>
    </w:p>
    <w:p>
      <w:pPr>
        <w:ind w:firstLine="560"/>
        <w:rPr>
          <w:bCs/>
        </w:rPr>
      </w:pPr>
      <w:r>
        <w:rPr>
          <w:rFonts w:hint="eastAsia"/>
        </w:rPr>
        <w:t>2.小组循环赛每一轮比赛（男双、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混双A、混双B</w:t>
      </w:r>
      <w:r>
        <w:rPr>
          <w:rFonts w:hint="eastAsia"/>
        </w:rPr>
        <w:t>为一轮比赛）</w:t>
      </w:r>
      <w:r>
        <w:rPr>
          <w:rFonts w:hint="eastAsia"/>
          <w:bCs/>
        </w:rPr>
        <w:t xml:space="preserve">至少一名老师参与到比赛当中； </w:t>
      </w:r>
    </w:p>
    <w:p>
      <w:pPr>
        <w:ind w:firstLine="560"/>
        <w:rPr>
          <w:color w:val="FF0000"/>
        </w:rPr>
      </w:pPr>
      <w:r>
        <w:rPr>
          <w:rFonts w:hint="eastAsia"/>
          <w:color w:val="FF0000"/>
        </w:rPr>
        <w:t>3.</w:t>
      </w:r>
      <w:r>
        <w:rPr>
          <w:rFonts w:hint="eastAsia"/>
          <w:bCs/>
          <w:color w:val="FF0000"/>
        </w:rPr>
        <w:t>小组循环赛每局采用</w:t>
      </w:r>
      <w:r>
        <w:rPr>
          <w:rFonts w:hint="eastAsia"/>
          <w:bCs/>
          <w:color w:val="FF0000"/>
          <w:lang w:val="en-US" w:eastAsia="zh-CN"/>
        </w:rPr>
        <w:t>15</w:t>
      </w:r>
      <w:r>
        <w:rPr>
          <w:rFonts w:hint="eastAsia"/>
          <w:bCs/>
          <w:color w:val="FF0000"/>
        </w:rPr>
        <w:t>分制，一局定胜负，小组三个项目均结束后统计净胜分数</w:t>
      </w:r>
      <w:r>
        <w:rPr>
          <w:rFonts w:hint="eastAsia"/>
          <w:color w:val="FF0000"/>
        </w:rPr>
        <w:t>。任何一方要获胜必须超出对方2分，</w:t>
      </w:r>
      <w:r>
        <w:rPr>
          <w:rFonts w:hint="eastAsia"/>
          <w:color w:val="FF0000"/>
          <w:lang w:val="en-US" w:eastAsia="zh-CN"/>
        </w:rPr>
        <w:t>21</w:t>
      </w:r>
      <w:r>
        <w:rPr>
          <w:rFonts w:hint="eastAsia"/>
          <w:color w:val="FF0000"/>
        </w:rPr>
        <w:t xml:space="preserve">分封顶；在小组循环赛中，一场比赛获胜积1分，输了积0分。如遇队伍积分相同时，依次以在小组中净胜盘数、局数、分数计算； </w:t>
      </w:r>
    </w:p>
    <w:p>
      <w:pPr>
        <w:ind w:firstLine="560"/>
        <w:rPr>
          <w:color w:val="FF0000"/>
        </w:rPr>
      </w:pPr>
      <w:r>
        <w:rPr>
          <w:rFonts w:hint="eastAsia"/>
          <w:color w:val="FF0000"/>
        </w:rPr>
        <w:t>4.小组赛单循环赛制，</w:t>
      </w:r>
      <w:r>
        <w:rPr>
          <w:color w:val="FF0000"/>
        </w:rPr>
        <w:t>具体名单见</w:t>
      </w:r>
      <w:r>
        <w:rPr>
          <w:rFonts w:hint="eastAsia"/>
          <w:color w:val="FF0000"/>
        </w:rPr>
        <w:t>竞赛名单</w:t>
      </w:r>
      <w:r>
        <w:rPr>
          <w:color w:val="FF0000"/>
        </w:rPr>
        <w:t>表</w:t>
      </w:r>
      <w:r>
        <w:rPr>
          <w:rFonts w:hint="eastAsia"/>
          <w:color w:val="FF0000"/>
        </w:rPr>
        <w:t>。各组决出A、B、C三个小组各组前2名晋级六强；</w:t>
      </w:r>
    </w:p>
    <w:p>
      <w:pPr>
        <w:ind w:firstLine="560"/>
        <w:rPr>
          <w:color w:val="FF0000"/>
        </w:rPr>
      </w:pPr>
      <w:r>
        <w:rPr>
          <w:rFonts w:hint="eastAsia"/>
          <w:color w:val="FF0000"/>
        </w:rPr>
        <w:t>5.小组赛胜出6支队伍抽签分组，进入淘汰赛。队伍获胜则晋级进入决赛，失败则为第四名至第六名，获三等奖；</w:t>
      </w:r>
    </w:p>
    <w:p>
      <w:pPr>
        <w:ind w:firstLine="560"/>
        <w:rPr>
          <w:color w:val="FF0000"/>
        </w:rPr>
      </w:pPr>
      <w:r>
        <w:rPr>
          <w:rFonts w:hint="eastAsia"/>
          <w:color w:val="FF0000"/>
        </w:rPr>
        <w:t>6.淘汰赛每局比赛采用每回合21分，一局定胜负，任何一方要获胜必须超出对方2分，25分封顶，决赛每局比赛采用每回合21分，一局定胜负，任何一方要获胜必须超出对方2分，25分封顶.</w:t>
      </w:r>
    </w:p>
    <w:p>
      <w:pPr>
        <w:ind w:firstLine="560"/>
        <w:rPr>
          <w:color w:val="FF0000"/>
        </w:rPr>
      </w:pPr>
      <w:r>
        <w:rPr>
          <w:rFonts w:hint="eastAsia"/>
          <w:color w:val="FF0000"/>
        </w:rPr>
        <w:t>7.淘汰赛晋级的三个队伍参与决赛，队伍之间两两对阵，最终计算净胜局数或净胜分决出冠亚季军；</w:t>
      </w:r>
    </w:p>
    <w:p>
      <w:pPr>
        <w:ind w:firstLine="560"/>
      </w:pPr>
      <w:r>
        <w:rPr>
          <w:rFonts w:hint="eastAsia"/>
        </w:rPr>
        <w:t>8.小组赛和淘汰赛的每一轮比赛中一名运动员只能参加一场比赛，不允许兼项；</w:t>
      </w:r>
    </w:p>
    <w:p>
      <w:pPr>
        <w:ind w:firstLine="560"/>
      </w:pPr>
      <w:r>
        <w:t>9.</w:t>
      </w:r>
      <w:r>
        <w:rPr>
          <w:rFonts w:hint="eastAsia"/>
        </w:rPr>
        <w:t>所有参赛队伍应执行赛事规程及组委会其他补充规定的相关条例，服从裁判判决。凡违反者，将受到警告、判罚违例、直至取消比赛资格的处分；</w:t>
      </w:r>
    </w:p>
    <w:p>
      <w:pPr>
        <w:ind w:firstLine="560"/>
      </w:pPr>
      <w:r>
        <w:t>10.</w:t>
      </w:r>
      <w:r>
        <w:rPr>
          <w:rFonts w:hint="eastAsia"/>
        </w:rPr>
        <w:t>在一场比赛进行中凡因伤病或其它原因不能在2分钟内继续比赛者按本场比赛弃权论。一场比赛运动员迟到2分钟者，判该运动员该场比赛弃权，如多名运动员迟到，导致本场比赛无法进行的，则判该队本场弃权；</w:t>
      </w:r>
    </w:p>
    <w:p>
      <w:pPr>
        <w:ind w:firstLine="560"/>
      </w:pPr>
      <w:r>
        <w:t>11.</w:t>
      </w:r>
      <w:r>
        <w:rPr>
          <w:rFonts w:hint="eastAsia"/>
        </w:rPr>
        <w:t>运动员不论什么原因造成比赛不能进行或中断比赛，或临赛前拒绝出场，赛后拒绝按组委会安排领奖等，超过2分钟者（经劝解说服工作后计算时间）为罢赛。赛场一旦出现罢赛，组委会有权按照有关条例进行处罚；</w:t>
      </w:r>
    </w:p>
    <w:p>
      <w:pPr>
        <w:ind w:firstLine="560"/>
      </w:pPr>
      <w:r>
        <w:rPr>
          <w:rFonts w:hint="eastAsia"/>
        </w:rPr>
        <w:t>12.比赛中具体规则执行中国羽毛球协会审定的最新《羽毛球竞赛规则》。</w:t>
      </w:r>
    </w:p>
    <w:p>
      <w:pPr>
        <w:pStyle w:val="17"/>
        <w:spacing w:before="312" w:after="312"/>
      </w:pPr>
      <w:bookmarkStart w:id="18" w:name="_Toc66350490"/>
      <w:bookmarkStart w:id="19" w:name="_Toc66271109"/>
      <w:r>
        <w:rPr>
          <w:rFonts w:hint="eastAsia"/>
        </w:rPr>
        <w:t>仲裁委员会与裁判员</w:t>
      </w:r>
      <w:bookmarkEnd w:id="18"/>
      <w:bookmarkEnd w:id="19"/>
    </w:p>
    <w:p>
      <w:pPr>
        <w:ind w:firstLine="560"/>
      </w:pPr>
      <w:r>
        <w:rPr>
          <w:rFonts w:hint="eastAsia"/>
        </w:rPr>
        <w:t>1.仲裁委员会人员组成和职责范围按《国家体育总局仲裁委员会条例》规定执行；</w:t>
      </w:r>
    </w:p>
    <w:p>
      <w:pPr>
        <w:ind w:firstLine="560"/>
      </w:pPr>
      <w:r>
        <w:rPr>
          <w:rFonts w:hint="eastAsia"/>
        </w:rPr>
        <w:t>2.比赛中队伍及运动员应服从裁判，有异议可通过裁判员向裁判长反映，裁判长的裁决为最终裁决。对裁决有异议者，可向仲裁委员会提出申诉；</w:t>
      </w:r>
    </w:p>
    <w:p>
      <w:pPr>
        <w:ind w:firstLine="560"/>
      </w:pPr>
      <w:r>
        <w:rPr>
          <w:rFonts w:hint="eastAsia"/>
        </w:rPr>
        <w:t>3.为了保证比赛良好氛围，保证比赛的顺利进行，对于在比赛中有弄虚作假、无理取闹、拖延比赛、干扰比赛、罢赛等行为的参赛队伍及运动员，组委会有权依照有关规定给予取消比赛资格、成绩的处罚；</w:t>
      </w:r>
    </w:p>
    <w:p>
      <w:pPr>
        <w:ind w:firstLine="560"/>
      </w:pPr>
      <w:r>
        <w:rPr>
          <w:rFonts w:hint="eastAsia"/>
        </w:rPr>
        <w:t>4.比赛结果最终解释权归裁判长所有。</w:t>
      </w:r>
    </w:p>
    <w:p>
      <w:pPr>
        <w:pStyle w:val="17"/>
        <w:spacing w:before="312" w:after="312"/>
      </w:pPr>
      <w:bookmarkStart w:id="20" w:name="_Toc66350491"/>
      <w:bookmarkStart w:id="21" w:name="_Toc66271110"/>
      <w:r>
        <w:t>奖项设置</w:t>
      </w:r>
      <w:bookmarkEnd w:id="20"/>
      <w:bookmarkEnd w:id="21"/>
    </w:p>
    <w:p>
      <w:pPr>
        <w:ind w:firstLine="560"/>
        <w:rPr>
          <w:color w:val="FF0000"/>
        </w:rPr>
      </w:pPr>
      <w:r>
        <w:rPr>
          <w:rFonts w:hint="eastAsia"/>
          <w:color w:val="FF0000"/>
        </w:rPr>
        <w:t>录取名次和奖励</w:t>
      </w:r>
    </w:p>
    <w:p>
      <w:pPr>
        <w:ind w:firstLine="560"/>
      </w:pPr>
      <w:r>
        <w:rPr>
          <w:rFonts w:hint="eastAsia"/>
        </w:rPr>
        <w:t>冠军：奖金</w:t>
      </w:r>
      <w:r>
        <w:t>3</w:t>
      </w:r>
      <w:r>
        <w:rPr>
          <w:rFonts w:hint="eastAsia"/>
        </w:rPr>
        <w:t>00元+奖状</w:t>
      </w:r>
    </w:p>
    <w:p>
      <w:pPr>
        <w:ind w:firstLine="560"/>
      </w:pPr>
      <w:r>
        <w:rPr>
          <w:rFonts w:hint="eastAsia"/>
        </w:rPr>
        <w:t>亚军：奖金</w:t>
      </w:r>
      <w:r>
        <w:t>2</w:t>
      </w:r>
      <w:r>
        <w:rPr>
          <w:rFonts w:hint="eastAsia"/>
        </w:rPr>
        <w:t>00元+奖状</w:t>
      </w:r>
    </w:p>
    <w:p>
      <w:pPr>
        <w:ind w:firstLine="560"/>
      </w:pPr>
      <w:r>
        <w:rPr>
          <w:rFonts w:hint="eastAsia"/>
        </w:rPr>
        <w:t>季军：奖金</w:t>
      </w:r>
      <w:r>
        <w:t>2</w:t>
      </w:r>
      <w:r>
        <w:rPr>
          <w:rFonts w:hint="eastAsia"/>
        </w:rPr>
        <w:t>00元+奖状</w:t>
      </w:r>
    </w:p>
    <w:p>
      <w:pPr>
        <w:ind w:firstLine="560"/>
      </w:pPr>
      <w:r>
        <w:rPr>
          <w:rFonts w:hint="eastAsia"/>
        </w:rPr>
        <w:t>第四名到第六名：奖金100元+奖状</w:t>
      </w:r>
    </w:p>
    <w:p>
      <w:pPr>
        <w:ind w:firstLine="560"/>
      </w:pPr>
      <w:r>
        <w:rPr>
          <w:rFonts w:hint="eastAsia"/>
        </w:rPr>
        <w:t>（此次奖金均以参赛队伍为单位颁发）</w:t>
      </w:r>
    </w:p>
    <w:p>
      <w:pPr>
        <w:pStyle w:val="17"/>
        <w:spacing w:before="312" w:after="312"/>
      </w:pPr>
      <w:bookmarkStart w:id="22" w:name="_Toc66271111"/>
      <w:bookmarkStart w:id="23" w:name="_Toc66350492"/>
      <w:r>
        <w:rPr>
          <w:rFonts w:hint="eastAsia"/>
        </w:rPr>
        <w:t>注意事项</w:t>
      </w:r>
      <w:bookmarkEnd w:id="22"/>
      <w:bookmarkEnd w:id="23"/>
    </w:p>
    <w:p>
      <w:pPr>
        <w:ind w:firstLine="560"/>
      </w:pPr>
      <w:r>
        <w:rPr>
          <w:rFonts w:hint="eastAsia"/>
        </w:rPr>
        <w:t>1.所有运动员在比赛期间都必须注意安全，一旦出现人身伤害事故，由运动员自行负担所有责任。</w:t>
      </w:r>
    </w:p>
    <w:p>
      <w:pPr>
        <w:ind w:firstLine="56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2.运动员及相关人员应遵守球场规则，不得损坏球网、地胶、灯具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等。注意球馆卫生，水瓶等垃圾随手扔进垃圾桶。</w:t>
      </w:r>
    </w:p>
    <w:p>
      <w:pPr>
        <w:ind w:firstLine="56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3.比赛进行时，场地边界附近观赛人员注意保持距离，不得随意穿越场地，避免被参赛选手的球拍、球击中而受伤。</w:t>
      </w:r>
    </w:p>
    <w:p>
      <w:pPr>
        <w:ind w:firstLine="560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4.活动前期如果遇到特殊天气状况（暴雨、冰雹</w:t>
      </w:r>
      <w:r>
        <w:rPr>
          <w:rFonts w:hint="eastAsia"/>
        </w:rPr>
        <w:t>）或极端灾难则适当推迟或缩短活动时间。</w:t>
      </w:r>
    </w:p>
    <w:p>
      <w:pPr>
        <w:ind w:firstLine="560"/>
        <w:rPr>
          <w:color w:val="FF0000"/>
        </w:rPr>
      </w:pPr>
      <w:r>
        <w:rPr>
          <w:rFonts w:hint="eastAsia"/>
          <w:color w:val="FF0000"/>
        </w:rPr>
        <w:t>5.为防控疫情，所有进入场馆者必须佩戴口罩，接收体温测量，报名阶段各班需收集上传各参赛人员的健康卡，健康卡为绿色方可参赛，运动员参赛时不需要佩戴口罩。</w:t>
      </w:r>
    </w:p>
    <w:p>
      <w:pPr>
        <w:ind w:firstLine="560"/>
        <w:rPr>
          <w:color w:val="FF0000"/>
        </w:rPr>
      </w:pPr>
      <w:r>
        <w:rPr>
          <w:rFonts w:hint="eastAsia"/>
          <w:color w:val="FF0000"/>
        </w:rPr>
        <w:t>6.所有参赛队员需以班级为单位，自行购买保险方可参赛</w:t>
      </w:r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建议从班费支出</w:t>
      </w:r>
      <w:r>
        <w:rPr>
          <w:rFonts w:hint="eastAsia"/>
          <w:color w:val="FF0000"/>
          <w:lang w:eastAsia="zh-CN"/>
        </w:rPr>
        <w:t>）</w:t>
      </w:r>
      <w:r>
        <w:rPr>
          <w:rFonts w:hint="eastAsia"/>
          <w:color w:val="FF0000"/>
        </w:rPr>
        <w:t>。保险单由队长在参赛前统一交到工作人员处。</w:t>
      </w:r>
    </w:p>
    <w:p>
      <w:pPr>
        <w:ind w:firstLine="560"/>
      </w:pPr>
      <w:r>
        <w:rPr>
          <w:rFonts w:hint="eastAsia"/>
        </w:rPr>
        <w:t>7.本规程解释权属大会组织委员会，未尽事宜，另行通知。</w:t>
      </w:r>
      <w:bookmarkStart w:id="24" w:name="_Toc31021"/>
      <w:bookmarkEnd w:id="24"/>
    </w:p>
    <w:p>
      <w:pPr>
        <w:pStyle w:val="17"/>
        <w:spacing w:before="312" w:after="312"/>
      </w:pPr>
      <w:bookmarkStart w:id="25" w:name="_Toc66350496"/>
      <w:bookmarkStart w:id="26" w:name="_Toc66271115"/>
      <w:bookmarkStart w:id="27" w:name="_Toc24977"/>
      <w:r>
        <w:rPr>
          <w:rFonts w:hint="eastAsia"/>
        </w:rPr>
        <w:t>竞赛分组</w:t>
      </w:r>
      <w:bookmarkEnd w:id="25"/>
      <w:bookmarkEnd w:id="26"/>
      <w:bookmarkEnd w:id="27"/>
    </w:p>
    <w:p>
      <w:pPr>
        <w:ind w:firstLine="56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抽签后确定各班分组，组别如下</w:t>
      </w:r>
    </w:p>
    <w:tbl>
      <w:tblPr>
        <w:tblStyle w:val="13"/>
        <w:tblpPr w:leftFromText="180" w:rightFromText="180" w:vertAnchor="text" w:horzAnchor="page" w:tblpX="1809" w:tblpY="212"/>
        <w:tblOverlap w:val="never"/>
        <w:tblW w:w="80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60"/>
        <w:gridCol w:w="3810"/>
        <w:gridCol w:w="21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</w:trPr>
        <w:tc>
          <w:tcPr>
            <w:tcW w:w="2160" w:type="dxa"/>
            <w:shd w:val="clear" w:color="auto" w:fill="auto"/>
            <w:vAlign w:val="center"/>
          </w:tcPr>
          <w:p>
            <w:pPr>
              <w:pStyle w:val="32"/>
              <w:rPr>
                <w:lang w:val="zh-CN"/>
              </w:rPr>
            </w:pPr>
            <w:r>
              <w:rPr>
                <w:rFonts w:hint="eastAsia"/>
                <w:lang w:val="zh-CN"/>
              </w:rPr>
              <w:t>小组赛组别</w:t>
            </w:r>
          </w:p>
        </w:tc>
        <w:tc>
          <w:tcPr>
            <w:tcW w:w="3810" w:type="dxa"/>
            <w:shd w:val="clear" w:color="auto" w:fill="auto"/>
            <w:vAlign w:val="center"/>
          </w:tcPr>
          <w:p>
            <w:pPr>
              <w:pStyle w:val="32"/>
              <w:rPr>
                <w:lang w:val="zh-CN"/>
              </w:rPr>
            </w:pPr>
            <w:r>
              <w:rPr>
                <w:rFonts w:hint="eastAsia"/>
                <w:lang w:val="zh-CN"/>
              </w:rPr>
              <w:t>队伍名称</w:t>
            </w: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pStyle w:val="32"/>
              <w:rPr>
                <w:lang w:val="zh-CN"/>
              </w:rPr>
            </w:pPr>
            <w:r>
              <w:rPr>
                <w:rFonts w:hint="eastAsia"/>
                <w:lang w:val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</w:trPr>
        <w:tc>
          <w:tcPr>
            <w:tcW w:w="2160" w:type="dxa"/>
            <w:vMerge w:val="restart"/>
            <w:shd w:val="clear" w:color="auto" w:fill="auto"/>
            <w:vAlign w:val="center"/>
          </w:tcPr>
          <w:p>
            <w:pPr>
              <w:pStyle w:val="32"/>
            </w:pPr>
            <w:r>
              <w:rPr>
                <w:rFonts w:hint="eastAsia"/>
              </w:rPr>
              <w:t>A组</w:t>
            </w:r>
          </w:p>
        </w:tc>
        <w:tc>
          <w:tcPr>
            <w:tcW w:w="3810" w:type="dxa"/>
            <w:shd w:val="clear" w:color="auto" w:fill="auto"/>
            <w:vAlign w:val="center"/>
          </w:tcPr>
          <w:p>
            <w:pPr>
              <w:pStyle w:val="32"/>
            </w:pP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pStyle w:val="32"/>
            </w:pPr>
            <w:r>
              <w:rPr>
                <w:rFonts w:hint="eastAsia"/>
              </w:rPr>
              <w:t>种子队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</w:trPr>
        <w:tc>
          <w:tcPr>
            <w:tcW w:w="2160" w:type="dxa"/>
            <w:vMerge w:val="continue"/>
            <w:shd w:val="clear" w:color="auto" w:fill="auto"/>
            <w:vAlign w:val="center"/>
          </w:tcPr>
          <w:p>
            <w:pPr>
              <w:pStyle w:val="32"/>
            </w:pPr>
          </w:p>
        </w:tc>
        <w:tc>
          <w:tcPr>
            <w:tcW w:w="3810" w:type="dxa"/>
            <w:shd w:val="clear" w:color="auto" w:fill="auto"/>
            <w:vAlign w:val="center"/>
          </w:tcPr>
          <w:p>
            <w:pPr>
              <w:pStyle w:val="32"/>
            </w:pP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pStyle w:val="32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</w:trPr>
        <w:tc>
          <w:tcPr>
            <w:tcW w:w="2160" w:type="dxa"/>
            <w:vMerge w:val="continue"/>
            <w:shd w:val="clear" w:color="auto" w:fill="auto"/>
            <w:vAlign w:val="center"/>
          </w:tcPr>
          <w:p>
            <w:pPr>
              <w:pStyle w:val="32"/>
            </w:pPr>
          </w:p>
        </w:tc>
        <w:tc>
          <w:tcPr>
            <w:tcW w:w="3810" w:type="dxa"/>
            <w:shd w:val="clear" w:color="auto" w:fill="auto"/>
            <w:vAlign w:val="center"/>
          </w:tcPr>
          <w:p>
            <w:pPr>
              <w:pStyle w:val="32"/>
            </w:pP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pStyle w:val="32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</w:trPr>
        <w:tc>
          <w:tcPr>
            <w:tcW w:w="2160" w:type="dxa"/>
            <w:vMerge w:val="continue"/>
            <w:shd w:val="clear" w:color="auto" w:fill="auto"/>
            <w:vAlign w:val="center"/>
          </w:tcPr>
          <w:p>
            <w:pPr>
              <w:pStyle w:val="32"/>
            </w:pPr>
          </w:p>
        </w:tc>
        <w:tc>
          <w:tcPr>
            <w:tcW w:w="3810" w:type="dxa"/>
            <w:shd w:val="clear" w:color="auto" w:fill="auto"/>
            <w:vAlign w:val="center"/>
          </w:tcPr>
          <w:p>
            <w:pPr>
              <w:pStyle w:val="32"/>
            </w:pP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pStyle w:val="32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</w:trPr>
        <w:tc>
          <w:tcPr>
            <w:tcW w:w="2160" w:type="dxa"/>
            <w:vMerge w:val="restart"/>
            <w:shd w:val="clear" w:color="auto" w:fill="auto"/>
            <w:vAlign w:val="center"/>
          </w:tcPr>
          <w:p>
            <w:pPr>
              <w:pStyle w:val="32"/>
            </w:pPr>
            <w:r>
              <w:t>B</w:t>
            </w:r>
            <w:r>
              <w:rPr>
                <w:rFonts w:hint="eastAsia"/>
              </w:rPr>
              <w:t>组</w:t>
            </w:r>
          </w:p>
        </w:tc>
        <w:tc>
          <w:tcPr>
            <w:tcW w:w="3810" w:type="dxa"/>
            <w:shd w:val="clear" w:color="auto" w:fill="auto"/>
            <w:vAlign w:val="center"/>
          </w:tcPr>
          <w:p>
            <w:pPr>
              <w:pStyle w:val="32"/>
            </w:pP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pStyle w:val="32"/>
            </w:pPr>
            <w:r>
              <w:rPr>
                <w:rFonts w:hint="eastAsia"/>
              </w:rPr>
              <w:t>种子队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</w:trPr>
        <w:tc>
          <w:tcPr>
            <w:tcW w:w="2160" w:type="dxa"/>
            <w:vMerge w:val="continue"/>
            <w:shd w:val="clear" w:color="auto" w:fill="auto"/>
            <w:vAlign w:val="center"/>
          </w:tcPr>
          <w:p>
            <w:pPr>
              <w:pStyle w:val="32"/>
            </w:pPr>
          </w:p>
        </w:tc>
        <w:tc>
          <w:tcPr>
            <w:tcW w:w="3810" w:type="dxa"/>
            <w:shd w:val="clear" w:color="auto" w:fill="auto"/>
            <w:vAlign w:val="center"/>
          </w:tcPr>
          <w:p>
            <w:pPr>
              <w:pStyle w:val="32"/>
            </w:pP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pStyle w:val="32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</w:trPr>
        <w:tc>
          <w:tcPr>
            <w:tcW w:w="2160" w:type="dxa"/>
            <w:vMerge w:val="continue"/>
            <w:shd w:val="clear" w:color="auto" w:fill="auto"/>
            <w:vAlign w:val="center"/>
          </w:tcPr>
          <w:p>
            <w:pPr>
              <w:pStyle w:val="32"/>
            </w:pPr>
          </w:p>
        </w:tc>
        <w:tc>
          <w:tcPr>
            <w:tcW w:w="3810" w:type="dxa"/>
            <w:shd w:val="clear" w:color="auto" w:fill="auto"/>
            <w:vAlign w:val="center"/>
          </w:tcPr>
          <w:p>
            <w:pPr>
              <w:pStyle w:val="32"/>
            </w:pP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pStyle w:val="32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</w:trPr>
        <w:tc>
          <w:tcPr>
            <w:tcW w:w="2160" w:type="dxa"/>
            <w:vMerge w:val="continue"/>
            <w:shd w:val="clear" w:color="auto" w:fill="auto"/>
            <w:vAlign w:val="center"/>
          </w:tcPr>
          <w:p>
            <w:pPr>
              <w:pStyle w:val="32"/>
            </w:pPr>
          </w:p>
        </w:tc>
        <w:tc>
          <w:tcPr>
            <w:tcW w:w="3810" w:type="dxa"/>
            <w:shd w:val="clear" w:color="auto" w:fill="auto"/>
            <w:vAlign w:val="center"/>
          </w:tcPr>
          <w:p>
            <w:pPr>
              <w:pStyle w:val="32"/>
            </w:pP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pStyle w:val="32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</w:trPr>
        <w:tc>
          <w:tcPr>
            <w:tcW w:w="2160" w:type="dxa"/>
            <w:vMerge w:val="restart"/>
            <w:shd w:val="clear" w:color="auto" w:fill="auto"/>
            <w:vAlign w:val="center"/>
          </w:tcPr>
          <w:p>
            <w:pPr>
              <w:pStyle w:val="32"/>
            </w:pPr>
            <w:r>
              <w:t>C</w:t>
            </w:r>
            <w:r>
              <w:rPr>
                <w:rFonts w:hint="eastAsia"/>
              </w:rPr>
              <w:t>组</w:t>
            </w:r>
          </w:p>
        </w:tc>
        <w:tc>
          <w:tcPr>
            <w:tcW w:w="3810" w:type="dxa"/>
            <w:shd w:val="clear" w:color="auto" w:fill="auto"/>
            <w:vAlign w:val="center"/>
          </w:tcPr>
          <w:p>
            <w:pPr>
              <w:pStyle w:val="32"/>
            </w:pP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pStyle w:val="32"/>
            </w:pPr>
            <w:r>
              <w:rPr>
                <w:rFonts w:hint="eastAsia"/>
              </w:rPr>
              <w:t>种子队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</w:trPr>
        <w:tc>
          <w:tcPr>
            <w:tcW w:w="2160" w:type="dxa"/>
            <w:vMerge w:val="continue"/>
            <w:shd w:val="clear" w:color="auto" w:fill="auto"/>
            <w:vAlign w:val="center"/>
          </w:tcPr>
          <w:p>
            <w:pPr>
              <w:pStyle w:val="32"/>
            </w:pPr>
          </w:p>
        </w:tc>
        <w:tc>
          <w:tcPr>
            <w:tcW w:w="3810" w:type="dxa"/>
            <w:shd w:val="clear" w:color="auto" w:fill="auto"/>
            <w:vAlign w:val="center"/>
          </w:tcPr>
          <w:p>
            <w:pPr>
              <w:pStyle w:val="32"/>
            </w:pP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pStyle w:val="32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</w:trPr>
        <w:tc>
          <w:tcPr>
            <w:tcW w:w="2160" w:type="dxa"/>
            <w:vMerge w:val="continue"/>
            <w:shd w:val="clear" w:color="auto" w:fill="auto"/>
            <w:vAlign w:val="center"/>
          </w:tcPr>
          <w:p>
            <w:pPr>
              <w:pStyle w:val="32"/>
            </w:pPr>
          </w:p>
        </w:tc>
        <w:tc>
          <w:tcPr>
            <w:tcW w:w="3810" w:type="dxa"/>
            <w:shd w:val="clear" w:color="auto" w:fill="auto"/>
            <w:vAlign w:val="center"/>
          </w:tcPr>
          <w:p>
            <w:pPr>
              <w:pStyle w:val="32"/>
            </w:pP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pStyle w:val="32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</w:trPr>
        <w:tc>
          <w:tcPr>
            <w:tcW w:w="2160" w:type="dxa"/>
            <w:vMerge w:val="continue"/>
            <w:shd w:val="clear" w:color="auto" w:fill="auto"/>
            <w:vAlign w:val="center"/>
          </w:tcPr>
          <w:p>
            <w:pPr>
              <w:pStyle w:val="32"/>
            </w:pPr>
          </w:p>
        </w:tc>
        <w:tc>
          <w:tcPr>
            <w:tcW w:w="3810" w:type="dxa"/>
            <w:shd w:val="clear" w:color="auto" w:fill="auto"/>
            <w:vAlign w:val="center"/>
          </w:tcPr>
          <w:p>
            <w:pPr>
              <w:pStyle w:val="32"/>
            </w:pP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pStyle w:val="32"/>
            </w:pPr>
          </w:p>
          <w:p>
            <w:pPr>
              <w:pStyle w:val="32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</w:trPr>
        <w:tc>
          <w:tcPr>
            <w:tcW w:w="2160" w:type="dxa"/>
            <w:vMerge w:val="continue"/>
            <w:shd w:val="clear" w:color="auto" w:fill="auto"/>
            <w:vAlign w:val="center"/>
          </w:tcPr>
          <w:p>
            <w:pPr>
              <w:pStyle w:val="32"/>
            </w:pPr>
          </w:p>
        </w:tc>
        <w:tc>
          <w:tcPr>
            <w:tcW w:w="3810" w:type="dxa"/>
            <w:shd w:val="clear" w:color="auto" w:fill="auto"/>
            <w:vAlign w:val="center"/>
          </w:tcPr>
          <w:p>
            <w:pPr>
              <w:pStyle w:val="32"/>
            </w:pPr>
          </w:p>
        </w:tc>
        <w:tc>
          <w:tcPr>
            <w:tcW w:w="2125" w:type="dxa"/>
            <w:shd w:val="clear" w:color="auto" w:fill="auto"/>
            <w:vAlign w:val="center"/>
          </w:tcPr>
          <w:p>
            <w:pPr>
              <w:pStyle w:val="32"/>
            </w:pPr>
          </w:p>
        </w:tc>
      </w:tr>
    </w:tbl>
    <w:p>
      <w:pPr>
        <w:pStyle w:val="17"/>
        <w:spacing w:before="312" w:after="312"/>
      </w:pPr>
      <w:r>
        <w:rPr>
          <w:rFonts w:hint="eastAsia"/>
        </w:rPr>
        <w:t>淘汰赛赛程</w:t>
      </w:r>
    </w:p>
    <w:p>
      <w:pPr>
        <w:pStyle w:val="17"/>
        <w:numPr>
          <w:ilvl w:val="0"/>
          <w:numId w:val="0"/>
        </w:numPr>
        <w:spacing w:before="312" w:after="312"/>
        <w:ind w:left="420"/>
      </w:pPr>
      <w:r>
        <w:drawing>
          <wp:inline distT="0" distB="0" distL="0" distR="0">
            <wp:extent cx="5274310" cy="4394835"/>
            <wp:effectExtent l="0" t="0" r="2540" b="5715"/>
            <wp:docPr id="1" name="图片 1" descr="C:\Users\地表最帅杨宇豪\Desktop\附件2：淘汰赛决赛对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地表最帅杨宇豪\Desktop\附件2：淘汰赛决赛对阵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9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sectPr>
      <w:headerReference r:id="rId13" w:type="first"/>
      <w:headerReference r:id="rId11" w:type="default"/>
      <w:footerReference r:id="rId14" w:type="default"/>
      <w:headerReference r:id="rId12" w:type="even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panose1 w:val="03000509000000000000"/>
    <w:charset w:val="86"/>
    <w:family w:val="roma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  <w:jc w:val="center"/>
    </w:pPr>
  </w:p>
  <w:p>
    <w:pPr>
      <w:pStyle w:val="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7310" cy="153035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310" cy="1530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ind w:firstLine="5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sz w:val="21"/>
                            </w:rP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2.05pt;width:5.3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Bkip50gAAAAMBAAAPAAAAAAAAAAEAIAAAACIAAABkcnMvZG93bnJldi54bWxQSwECFAAUAAAA&#10;CACHTuJA/XQ+Ay0CAABUBAAADgAAAAAAAAABACAAAAAhAQAAZHJzL2Uyb0RvYy54bWxQSwUGAAAA&#10;AAYABgBZAQAAw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ind w:firstLine="5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sz w:val="21"/>
                      </w:rPr>
                      <w:t>9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  <w:r>
      <w:pict>
        <v:shape id="WordPictureWatermark177544736" o:spid="_x0000_s3074" o:spt="75" type="#_x0000_t75" style="position:absolute;left:0pt;height:456.35pt;width:453.15pt;mso-position-horizontal:center;mso-position-horizontal-relative:margin;mso-position-vertical:center;mso-position-vertical-relative:margin;z-index:-25165312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官方院徽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  <w:r>
      <w:pict>
        <v:shape id="WordPictureWatermark177544735" o:spid="_x0000_s3075" o:spt="75" type="#_x0000_t75" style="position:absolute;left:0pt;height:456.35pt;width:453.15pt;mso-position-horizontal:center;mso-position-horizontal-relative:margin;mso-position-vertical:center;mso-position-vertical-relative:margin;z-index:-25165414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官方院徽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  <w:r>
      <w:pict>
        <v:shape id="WordPictureWatermark177544734" o:spid="_x0000_s3073" o:spt="75" type="#_x0000_t75" style="position:absolute;left:0pt;height:456.35pt;width:453.15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官方院徽"/>
          <o:lock v:ext="edit" aspectratio="t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720"/>
      <w:jc w:val="right"/>
    </w:pPr>
    <w:r>
      <w:rPr>
        <w:rFonts w:ascii="Cambria"/>
        <w:sz w:val="36"/>
        <w:szCs w:val="24"/>
      </w:rPr>
      <w:pict>
        <v:shape id="WordPictureWatermark177544739" o:spid="_x0000_s3077" o:spt="75" type="#_x0000_t75" style="position:absolute;left:0pt;height:456.35pt;width:453.15pt;mso-position-horizontal:center;mso-position-horizontal-relative:margin;mso-position-vertical:center;mso-position-vertical-relative:margin;z-index:-25165004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官方院徽"/>
          <o:lock v:ext="edit" aspectratio="t"/>
        </v:shape>
      </w:pict>
    </w:r>
    <w:r>
      <w:rPr>
        <w:rFonts w:ascii="Cambria"/>
        <w:sz w:val="36"/>
        <w:szCs w:val="24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-144780</wp:posOffset>
          </wp:positionH>
          <wp:positionV relativeFrom="paragraph">
            <wp:posOffset>-75565</wp:posOffset>
          </wp:positionV>
          <wp:extent cx="367030" cy="37084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200" cy="370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航空航天学院第一届“师生杯”羽毛球赛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  <w:r>
      <w:pict>
        <v:shape id="WordPictureWatermark177544738" o:spid="_x0000_s3078" o:spt="75" type="#_x0000_t75" style="position:absolute;left:0pt;height:456.35pt;width:453.15pt;mso-position-horizontal:center;mso-position-horizontal-relative:margin;mso-position-vertical:center;mso-position-vertical-relative:margin;z-index:-25165107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官方院徽"/>
          <o:lock v:ext="edit" aspectratio="t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  <w:r>
      <w:pict>
        <v:shape id="WordPictureWatermark177544737" o:spid="_x0000_s3076" o:spt="75" type="#_x0000_t75" style="position:absolute;left:0pt;height:456.35pt;width:453.15pt;mso-position-horizontal:center;mso-position-horizontal-relative:margin;mso-position-vertical:center;mso-position-vertical-relative:margin;z-index:-25165209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官方院徽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B066A6"/>
    <w:multiLevelType w:val="multilevel"/>
    <w:tmpl w:val="01B066A6"/>
    <w:lvl w:ilvl="0" w:tentative="0">
      <w:start w:val="1"/>
      <w:numFmt w:val="japaneseCounting"/>
      <w:pStyle w:val="18"/>
      <w:lvlText w:val="%1、"/>
      <w:lvlJc w:val="left"/>
      <w:pPr>
        <w:ind w:left="750" w:hanging="75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FC9238D"/>
    <w:multiLevelType w:val="multilevel"/>
    <w:tmpl w:val="4FC9238D"/>
    <w:lvl w:ilvl="0" w:tentative="0">
      <w:start w:val="1"/>
      <w:numFmt w:val="chineseCounting"/>
      <w:pStyle w:val="17"/>
      <w:lvlText w:val="%1、"/>
      <w:lvlJc w:val="left"/>
      <w:pPr>
        <w:ind w:left="420" w:hanging="420"/>
      </w:pPr>
      <w:rPr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82D649C"/>
    <w:multiLevelType w:val="singleLevel"/>
    <w:tmpl w:val="582D649C"/>
    <w:lvl w:ilvl="0" w:tentative="0">
      <w:start w:val="1"/>
      <w:numFmt w:val="chineseCounting"/>
      <w:pStyle w:val="29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C62"/>
    <w:rsid w:val="00000BA4"/>
    <w:rsid w:val="0000294B"/>
    <w:rsid w:val="00010DD4"/>
    <w:rsid w:val="00014967"/>
    <w:rsid w:val="00034D57"/>
    <w:rsid w:val="0004242B"/>
    <w:rsid w:val="00045DE1"/>
    <w:rsid w:val="00051E1E"/>
    <w:rsid w:val="00054C89"/>
    <w:rsid w:val="00054C8F"/>
    <w:rsid w:val="00081734"/>
    <w:rsid w:val="00082F99"/>
    <w:rsid w:val="00086AE6"/>
    <w:rsid w:val="000876BE"/>
    <w:rsid w:val="000902C2"/>
    <w:rsid w:val="00092E5C"/>
    <w:rsid w:val="00095672"/>
    <w:rsid w:val="000A170A"/>
    <w:rsid w:val="000B04B6"/>
    <w:rsid w:val="000B50E5"/>
    <w:rsid w:val="000B620C"/>
    <w:rsid w:val="000D2475"/>
    <w:rsid w:val="000D4123"/>
    <w:rsid w:val="000D5CB2"/>
    <w:rsid w:val="000E493D"/>
    <w:rsid w:val="000E5E5D"/>
    <w:rsid w:val="000F19AC"/>
    <w:rsid w:val="000F458D"/>
    <w:rsid w:val="000F45E2"/>
    <w:rsid w:val="001018A6"/>
    <w:rsid w:val="00113216"/>
    <w:rsid w:val="0011507B"/>
    <w:rsid w:val="00134256"/>
    <w:rsid w:val="001377E5"/>
    <w:rsid w:val="00137CE3"/>
    <w:rsid w:val="00141BCF"/>
    <w:rsid w:val="00146156"/>
    <w:rsid w:val="001549F9"/>
    <w:rsid w:val="00163383"/>
    <w:rsid w:val="00171440"/>
    <w:rsid w:val="0017205E"/>
    <w:rsid w:val="001728D4"/>
    <w:rsid w:val="00174A5D"/>
    <w:rsid w:val="001852A5"/>
    <w:rsid w:val="00192B50"/>
    <w:rsid w:val="001960E1"/>
    <w:rsid w:val="001A4212"/>
    <w:rsid w:val="001C3AC9"/>
    <w:rsid w:val="001E3E53"/>
    <w:rsid w:val="001E5750"/>
    <w:rsid w:val="001E70ED"/>
    <w:rsid w:val="001F399A"/>
    <w:rsid w:val="00203F5C"/>
    <w:rsid w:val="0020427C"/>
    <w:rsid w:val="00215B79"/>
    <w:rsid w:val="0022581D"/>
    <w:rsid w:val="002428B1"/>
    <w:rsid w:val="00245562"/>
    <w:rsid w:val="00247453"/>
    <w:rsid w:val="00247E97"/>
    <w:rsid w:val="002507A3"/>
    <w:rsid w:val="002579BF"/>
    <w:rsid w:val="00263DBC"/>
    <w:rsid w:val="00267060"/>
    <w:rsid w:val="0026778E"/>
    <w:rsid w:val="0027589B"/>
    <w:rsid w:val="00280E9C"/>
    <w:rsid w:val="00281344"/>
    <w:rsid w:val="0028148B"/>
    <w:rsid w:val="00287EF2"/>
    <w:rsid w:val="002A2922"/>
    <w:rsid w:val="002A3254"/>
    <w:rsid w:val="002B37F4"/>
    <w:rsid w:val="002B592C"/>
    <w:rsid w:val="002C2898"/>
    <w:rsid w:val="002C5FC4"/>
    <w:rsid w:val="002D2CF3"/>
    <w:rsid w:val="002D3154"/>
    <w:rsid w:val="002D5860"/>
    <w:rsid w:val="002D7A87"/>
    <w:rsid w:val="002F14B4"/>
    <w:rsid w:val="002F4A13"/>
    <w:rsid w:val="002F4B0B"/>
    <w:rsid w:val="003073DC"/>
    <w:rsid w:val="00317C7B"/>
    <w:rsid w:val="003344C4"/>
    <w:rsid w:val="00340D7A"/>
    <w:rsid w:val="00343E9D"/>
    <w:rsid w:val="00346116"/>
    <w:rsid w:val="0035142B"/>
    <w:rsid w:val="00356986"/>
    <w:rsid w:val="00361D75"/>
    <w:rsid w:val="00363C98"/>
    <w:rsid w:val="00364396"/>
    <w:rsid w:val="00374FF4"/>
    <w:rsid w:val="003814C7"/>
    <w:rsid w:val="003837F6"/>
    <w:rsid w:val="00391468"/>
    <w:rsid w:val="00391F1E"/>
    <w:rsid w:val="003A3638"/>
    <w:rsid w:val="003A44FA"/>
    <w:rsid w:val="003B78C8"/>
    <w:rsid w:val="003D4FAC"/>
    <w:rsid w:val="003E3587"/>
    <w:rsid w:val="003E6854"/>
    <w:rsid w:val="003E756C"/>
    <w:rsid w:val="003F0F02"/>
    <w:rsid w:val="0040116A"/>
    <w:rsid w:val="00402A6A"/>
    <w:rsid w:val="00413BA8"/>
    <w:rsid w:val="00415EE0"/>
    <w:rsid w:val="004236B4"/>
    <w:rsid w:val="00433691"/>
    <w:rsid w:val="00444DD2"/>
    <w:rsid w:val="004548F4"/>
    <w:rsid w:val="004604C9"/>
    <w:rsid w:val="00497603"/>
    <w:rsid w:val="004A1202"/>
    <w:rsid w:val="004A22FB"/>
    <w:rsid w:val="004D30DC"/>
    <w:rsid w:val="004E76E5"/>
    <w:rsid w:val="004F576D"/>
    <w:rsid w:val="00502BA8"/>
    <w:rsid w:val="00507E23"/>
    <w:rsid w:val="00515A29"/>
    <w:rsid w:val="0056155D"/>
    <w:rsid w:val="0056246E"/>
    <w:rsid w:val="00582F09"/>
    <w:rsid w:val="00592AA8"/>
    <w:rsid w:val="005A1604"/>
    <w:rsid w:val="005B05EA"/>
    <w:rsid w:val="005B17BA"/>
    <w:rsid w:val="005B3882"/>
    <w:rsid w:val="005B4940"/>
    <w:rsid w:val="005C178F"/>
    <w:rsid w:val="005C22AB"/>
    <w:rsid w:val="005E228D"/>
    <w:rsid w:val="005F5EEF"/>
    <w:rsid w:val="00600622"/>
    <w:rsid w:val="00602C8C"/>
    <w:rsid w:val="00613022"/>
    <w:rsid w:val="00614848"/>
    <w:rsid w:val="006226A5"/>
    <w:rsid w:val="00624FDB"/>
    <w:rsid w:val="00633A50"/>
    <w:rsid w:val="00657651"/>
    <w:rsid w:val="006651A1"/>
    <w:rsid w:val="00674779"/>
    <w:rsid w:val="00683800"/>
    <w:rsid w:val="0068714E"/>
    <w:rsid w:val="00690D1C"/>
    <w:rsid w:val="00691F05"/>
    <w:rsid w:val="00697317"/>
    <w:rsid w:val="00697671"/>
    <w:rsid w:val="006C3223"/>
    <w:rsid w:val="006C3797"/>
    <w:rsid w:val="006C565D"/>
    <w:rsid w:val="00704CE6"/>
    <w:rsid w:val="007057AC"/>
    <w:rsid w:val="00706AAB"/>
    <w:rsid w:val="00710A92"/>
    <w:rsid w:val="007118EF"/>
    <w:rsid w:val="00723090"/>
    <w:rsid w:val="0072465F"/>
    <w:rsid w:val="00731906"/>
    <w:rsid w:val="00733FC4"/>
    <w:rsid w:val="007352A0"/>
    <w:rsid w:val="007603B6"/>
    <w:rsid w:val="007733CA"/>
    <w:rsid w:val="0078774B"/>
    <w:rsid w:val="0079264F"/>
    <w:rsid w:val="007B12BA"/>
    <w:rsid w:val="007D3BBA"/>
    <w:rsid w:val="007D565A"/>
    <w:rsid w:val="007F5D3F"/>
    <w:rsid w:val="00805359"/>
    <w:rsid w:val="008114A7"/>
    <w:rsid w:val="008127BC"/>
    <w:rsid w:val="0081297A"/>
    <w:rsid w:val="008250CA"/>
    <w:rsid w:val="00840964"/>
    <w:rsid w:val="008427C1"/>
    <w:rsid w:val="0085017F"/>
    <w:rsid w:val="00851AA5"/>
    <w:rsid w:val="0086123B"/>
    <w:rsid w:val="00870363"/>
    <w:rsid w:val="00871F5E"/>
    <w:rsid w:val="0087328E"/>
    <w:rsid w:val="0087698B"/>
    <w:rsid w:val="00890C62"/>
    <w:rsid w:val="00890CD9"/>
    <w:rsid w:val="00892956"/>
    <w:rsid w:val="00895812"/>
    <w:rsid w:val="008A699D"/>
    <w:rsid w:val="008B3C40"/>
    <w:rsid w:val="008B5816"/>
    <w:rsid w:val="008C05FD"/>
    <w:rsid w:val="008C7684"/>
    <w:rsid w:val="008D7DB7"/>
    <w:rsid w:val="008D7DC3"/>
    <w:rsid w:val="008E02B4"/>
    <w:rsid w:val="008E35A6"/>
    <w:rsid w:val="008F2B67"/>
    <w:rsid w:val="008F3BD9"/>
    <w:rsid w:val="00914F17"/>
    <w:rsid w:val="00927982"/>
    <w:rsid w:val="009346BE"/>
    <w:rsid w:val="00937DAA"/>
    <w:rsid w:val="00941C16"/>
    <w:rsid w:val="00942EB0"/>
    <w:rsid w:val="009434EE"/>
    <w:rsid w:val="009434FF"/>
    <w:rsid w:val="00945C31"/>
    <w:rsid w:val="00955CD8"/>
    <w:rsid w:val="00957DBE"/>
    <w:rsid w:val="0096160F"/>
    <w:rsid w:val="00972C76"/>
    <w:rsid w:val="00973C6D"/>
    <w:rsid w:val="009747A7"/>
    <w:rsid w:val="0097527C"/>
    <w:rsid w:val="00975397"/>
    <w:rsid w:val="0098324C"/>
    <w:rsid w:val="00992976"/>
    <w:rsid w:val="009A5BBF"/>
    <w:rsid w:val="009A779A"/>
    <w:rsid w:val="009B33D7"/>
    <w:rsid w:val="009B3C22"/>
    <w:rsid w:val="009B7EAD"/>
    <w:rsid w:val="009D21C9"/>
    <w:rsid w:val="009E26EE"/>
    <w:rsid w:val="009E4436"/>
    <w:rsid w:val="009E7D31"/>
    <w:rsid w:val="009F06C6"/>
    <w:rsid w:val="009F4E88"/>
    <w:rsid w:val="00A02B5F"/>
    <w:rsid w:val="00A2097F"/>
    <w:rsid w:val="00A24911"/>
    <w:rsid w:val="00A25AAC"/>
    <w:rsid w:val="00A33DB6"/>
    <w:rsid w:val="00A43D8F"/>
    <w:rsid w:val="00A5132A"/>
    <w:rsid w:val="00A52A23"/>
    <w:rsid w:val="00A611EA"/>
    <w:rsid w:val="00A6362B"/>
    <w:rsid w:val="00A65406"/>
    <w:rsid w:val="00A75182"/>
    <w:rsid w:val="00A7764C"/>
    <w:rsid w:val="00A83607"/>
    <w:rsid w:val="00A86772"/>
    <w:rsid w:val="00A92C9F"/>
    <w:rsid w:val="00A930E3"/>
    <w:rsid w:val="00A9712F"/>
    <w:rsid w:val="00A97C62"/>
    <w:rsid w:val="00AA4A50"/>
    <w:rsid w:val="00AA7DB0"/>
    <w:rsid w:val="00AB1337"/>
    <w:rsid w:val="00AB2E1E"/>
    <w:rsid w:val="00AB4C53"/>
    <w:rsid w:val="00AC3F5F"/>
    <w:rsid w:val="00AC5D0C"/>
    <w:rsid w:val="00AD1EEC"/>
    <w:rsid w:val="00AE40E7"/>
    <w:rsid w:val="00AE56FE"/>
    <w:rsid w:val="00B02C5C"/>
    <w:rsid w:val="00B04099"/>
    <w:rsid w:val="00B07502"/>
    <w:rsid w:val="00B137BC"/>
    <w:rsid w:val="00B13F52"/>
    <w:rsid w:val="00B17447"/>
    <w:rsid w:val="00B278E1"/>
    <w:rsid w:val="00B43EDF"/>
    <w:rsid w:val="00B51A4A"/>
    <w:rsid w:val="00B6515C"/>
    <w:rsid w:val="00B71EE9"/>
    <w:rsid w:val="00B80AE6"/>
    <w:rsid w:val="00B9537D"/>
    <w:rsid w:val="00B9681B"/>
    <w:rsid w:val="00BB189E"/>
    <w:rsid w:val="00BB6FF9"/>
    <w:rsid w:val="00BC3A2A"/>
    <w:rsid w:val="00BD2DB5"/>
    <w:rsid w:val="00BE009D"/>
    <w:rsid w:val="00BE3686"/>
    <w:rsid w:val="00BF021A"/>
    <w:rsid w:val="00BF1949"/>
    <w:rsid w:val="00BF61D0"/>
    <w:rsid w:val="00BF7006"/>
    <w:rsid w:val="00C0208C"/>
    <w:rsid w:val="00C02681"/>
    <w:rsid w:val="00C02A10"/>
    <w:rsid w:val="00C04A89"/>
    <w:rsid w:val="00C0579B"/>
    <w:rsid w:val="00C0617C"/>
    <w:rsid w:val="00C1301A"/>
    <w:rsid w:val="00C15475"/>
    <w:rsid w:val="00C35A65"/>
    <w:rsid w:val="00C35C0E"/>
    <w:rsid w:val="00C4095D"/>
    <w:rsid w:val="00C433C3"/>
    <w:rsid w:val="00C516B2"/>
    <w:rsid w:val="00C52DC3"/>
    <w:rsid w:val="00C63B04"/>
    <w:rsid w:val="00C70C42"/>
    <w:rsid w:val="00C95E13"/>
    <w:rsid w:val="00CA053D"/>
    <w:rsid w:val="00CA7210"/>
    <w:rsid w:val="00CB18BF"/>
    <w:rsid w:val="00CC05F4"/>
    <w:rsid w:val="00CC538B"/>
    <w:rsid w:val="00CD418A"/>
    <w:rsid w:val="00CE1521"/>
    <w:rsid w:val="00CE2062"/>
    <w:rsid w:val="00CF15B9"/>
    <w:rsid w:val="00D013EF"/>
    <w:rsid w:val="00D2661E"/>
    <w:rsid w:val="00D336E1"/>
    <w:rsid w:val="00D42548"/>
    <w:rsid w:val="00D467BD"/>
    <w:rsid w:val="00D5341D"/>
    <w:rsid w:val="00D5544E"/>
    <w:rsid w:val="00D557F0"/>
    <w:rsid w:val="00D570DA"/>
    <w:rsid w:val="00D604BB"/>
    <w:rsid w:val="00D62109"/>
    <w:rsid w:val="00D6211F"/>
    <w:rsid w:val="00D633E7"/>
    <w:rsid w:val="00D73D90"/>
    <w:rsid w:val="00D857D4"/>
    <w:rsid w:val="00D85FFD"/>
    <w:rsid w:val="00D915BC"/>
    <w:rsid w:val="00D93AC8"/>
    <w:rsid w:val="00D964AB"/>
    <w:rsid w:val="00DA1999"/>
    <w:rsid w:val="00DA64F5"/>
    <w:rsid w:val="00DB53B2"/>
    <w:rsid w:val="00DC2C9A"/>
    <w:rsid w:val="00DD178A"/>
    <w:rsid w:val="00DD1AC1"/>
    <w:rsid w:val="00DD2C89"/>
    <w:rsid w:val="00DE20A5"/>
    <w:rsid w:val="00DF290B"/>
    <w:rsid w:val="00DF2C19"/>
    <w:rsid w:val="00DF613C"/>
    <w:rsid w:val="00E04C80"/>
    <w:rsid w:val="00E06EAB"/>
    <w:rsid w:val="00E07311"/>
    <w:rsid w:val="00E17A3D"/>
    <w:rsid w:val="00E24E9F"/>
    <w:rsid w:val="00E25568"/>
    <w:rsid w:val="00E27F9A"/>
    <w:rsid w:val="00E4292E"/>
    <w:rsid w:val="00E46266"/>
    <w:rsid w:val="00E900DA"/>
    <w:rsid w:val="00E95F6A"/>
    <w:rsid w:val="00EB5B28"/>
    <w:rsid w:val="00EB61A7"/>
    <w:rsid w:val="00EC01B6"/>
    <w:rsid w:val="00EC26F8"/>
    <w:rsid w:val="00ED0E53"/>
    <w:rsid w:val="00ED4C1D"/>
    <w:rsid w:val="00EF07AA"/>
    <w:rsid w:val="00EF0962"/>
    <w:rsid w:val="00EF70D3"/>
    <w:rsid w:val="00F01E26"/>
    <w:rsid w:val="00F20E4D"/>
    <w:rsid w:val="00F22FA1"/>
    <w:rsid w:val="00F24700"/>
    <w:rsid w:val="00F30FB1"/>
    <w:rsid w:val="00F318A3"/>
    <w:rsid w:val="00F3218F"/>
    <w:rsid w:val="00F47AB2"/>
    <w:rsid w:val="00F507D3"/>
    <w:rsid w:val="00F5645E"/>
    <w:rsid w:val="00F6539D"/>
    <w:rsid w:val="00F70906"/>
    <w:rsid w:val="00F717DF"/>
    <w:rsid w:val="00F74752"/>
    <w:rsid w:val="00F844C2"/>
    <w:rsid w:val="00F852C1"/>
    <w:rsid w:val="00F90346"/>
    <w:rsid w:val="00FA2E33"/>
    <w:rsid w:val="00FD09E6"/>
    <w:rsid w:val="00FD2260"/>
    <w:rsid w:val="00FD4043"/>
    <w:rsid w:val="00FE4B9A"/>
    <w:rsid w:val="00FE5423"/>
    <w:rsid w:val="00FE6102"/>
    <w:rsid w:val="00FF720D"/>
    <w:rsid w:val="01C445D1"/>
    <w:rsid w:val="02EB7F7A"/>
    <w:rsid w:val="053B690E"/>
    <w:rsid w:val="0C753C08"/>
    <w:rsid w:val="0DAF2C0F"/>
    <w:rsid w:val="0EB473C5"/>
    <w:rsid w:val="0F513DC1"/>
    <w:rsid w:val="10194FCB"/>
    <w:rsid w:val="17DB7ECC"/>
    <w:rsid w:val="1CA50AA5"/>
    <w:rsid w:val="1DDF2174"/>
    <w:rsid w:val="204524B1"/>
    <w:rsid w:val="24AF4932"/>
    <w:rsid w:val="24EE703B"/>
    <w:rsid w:val="293E3C31"/>
    <w:rsid w:val="2CDB1747"/>
    <w:rsid w:val="2DD84C8E"/>
    <w:rsid w:val="32872D88"/>
    <w:rsid w:val="34220FA3"/>
    <w:rsid w:val="358908BC"/>
    <w:rsid w:val="391552C6"/>
    <w:rsid w:val="39A82510"/>
    <w:rsid w:val="3AD9042A"/>
    <w:rsid w:val="3C5571BD"/>
    <w:rsid w:val="449F6300"/>
    <w:rsid w:val="459F2E97"/>
    <w:rsid w:val="462315A9"/>
    <w:rsid w:val="486116EA"/>
    <w:rsid w:val="4A6A2F49"/>
    <w:rsid w:val="4C915D7C"/>
    <w:rsid w:val="4DF92569"/>
    <w:rsid w:val="52B66D08"/>
    <w:rsid w:val="53B80D7F"/>
    <w:rsid w:val="575529AD"/>
    <w:rsid w:val="58C104FA"/>
    <w:rsid w:val="595C1490"/>
    <w:rsid w:val="597D497F"/>
    <w:rsid w:val="5BFB0F91"/>
    <w:rsid w:val="5E25448C"/>
    <w:rsid w:val="5ECC4A67"/>
    <w:rsid w:val="5EE34982"/>
    <w:rsid w:val="6530294A"/>
    <w:rsid w:val="667918FE"/>
    <w:rsid w:val="66E6110F"/>
    <w:rsid w:val="6CDB763F"/>
    <w:rsid w:val="76E2169E"/>
    <w:rsid w:val="7F4D4E7F"/>
    <w:rsid w:val="7FA8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39" w:semiHidden="0" w:name="toc 1"/>
    <w:lsdException w:unhideWhenUsed="0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iPriority="0" w:name="Salutation"/>
    <w:lsdException w:qFormat="1" w:unhideWhenUsed="0" w:uiPriority="0" w:semiHidden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unhideWhenUsed="0" w:uiPriority="0" w:semiHidden="0" w:name="Strong"/>
    <w:lsdException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仿宋_GB2312" w:hAnsi="Times New Roman" w:eastAsia="仿宋_GB2312" w:cs="Times New Roman"/>
      <w:kern w:val="2"/>
      <w:sz w:val="28"/>
      <w:szCs w:val="28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28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ate"/>
    <w:basedOn w:val="1"/>
    <w:next w:val="1"/>
    <w:link w:val="25"/>
    <w:qFormat/>
    <w:uiPriority w:val="0"/>
    <w:pPr>
      <w:ind w:left="100" w:leftChars="2500"/>
    </w:pPr>
  </w:style>
  <w:style w:type="paragraph" w:styleId="6">
    <w:name w:val="Balloon Text"/>
    <w:basedOn w:val="1"/>
    <w:link w:val="26"/>
    <w:qFormat/>
    <w:uiPriority w:val="0"/>
    <w:rPr>
      <w:sz w:val="18"/>
      <w:szCs w:val="18"/>
    </w:rPr>
  </w:style>
  <w:style w:type="paragraph" w:styleId="7">
    <w:name w:val="footer"/>
    <w:basedOn w:val="1"/>
    <w:link w:val="3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toc 1"/>
    <w:basedOn w:val="1"/>
    <w:next w:val="1"/>
    <w:uiPriority w:val="39"/>
  </w:style>
  <w:style w:type="paragraph" w:styleId="10">
    <w:name w:val="toc 2"/>
    <w:basedOn w:val="1"/>
    <w:next w:val="1"/>
    <w:uiPriority w:val="39"/>
    <w:pPr>
      <w:ind w:left="420" w:leftChars="200"/>
    </w:pPr>
  </w:style>
  <w:style w:type="paragraph" w:styleId="1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2">
    <w:name w:val="Title"/>
    <w:basedOn w:val="1"/>
    <w:next w:val="1"/>
    <w:link w:val="27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7">
    <w:name w:val="大标题"/>
    <w:basedOn w:val="18"/>
    <w:link w:val="20"/>
    <w:qFormat/>
    <w:uiPriority w:val="0"/>
    <w:pPr>
      <w:widowControl w:val="0"/>
      <w:numPr>
        <w:numId w:val="1"/>
      </w:numPr>
      <w:autoSpaceDE w:val="0"/>
      <w:autoSpaceDN w:val="0"/>
      <w:spacing w:before="100" w:beforeLines="100" w:after="100" w:afterLines="100" w:line="240" w:lineRule="auto"/>
      <w:jc w:val="left"/>
      <w:outlineLvl w:val="0"/>
    </w:pPr>
    <w:rPr>
      <w:rFonts w:eastAsia="黑体"/>
    </w:rPr>
  </w:style>
  <w:style w:type="paragraph" w:customStyle="1" w:styleId="18">
    <w:name w:val="章节"/>
    <w:basedOn w:val="19"/>
    <w:link w:val="21"/>
    <w:uiPriority w:val="0"/>
    <w:pPr>
      <w:widowControl/>
      <w:numPr>
        <w:ilvl w:val="0"/>
        <w:numId w:val="2"/>
      </w:numPr>
      <w:adjustRightInd w:val="0"/>
      <w:snapToGrid w:val="0"/>
      <w:spacing w:line="540" w:lineRule="exact"/>
      <w:ind w:firstLine="0" w:firstLineChars="0"/>
      <w:jc w:val="center"/>
    </w:pPr>
    <w:rPr>
      <w:rFonts w:ascii="方正小标宋简体" w:hAnsi="楷体" w:eastAsia="方正小标宋简体" w:cs="楷体"/>
      <w:b/>
      <w:bCs/>
      <w:sz w:val="36"/>
      <w:szCs w:val="36"/>
    </w:rPr>
  </w:style>
  <w:style w:type="paragraph" w:styleId="19">
    <w:name w:val="List Paragraph"/>
    <w:basedOn w:val="1"/>
    <w:link w:val="22"/>
    <w:qFormat/>
    <w:uiPriority w:val="99"/>
    <w:pPr>
      <w:ind w:firstLine="420"/>
    </w:pPr>
  </w:style>
  <w:style w:type="character" w:customStyle="1" w:styleId="20">
    <w:name w:val="大标题 Char"/>
    <w:basedOn w:val="21"/>
    <w:link w:val="17"/>
    <w:qFormat/>
    <w:uiPriority w:val="0"/>
    <w:rPr>
      <w:rFonts w:ascii="方正小标宋简体" w:hAnsi="楷体" w:eastAsia="黑体" w:cs="楷体"/>
      <w:kern w:val="2"/>
      <w:sz w:val="36"/>
      <w:szCs w:val="36"/>
    </w:rPr>
  </w:style>
  <w:style w:type="character" w:customStyle="1" w:styleId="21">
    <w:name w:val="章节 Char"/>
    <w:basedOn w:val="22"/>
    <w:link w:val="18"/>
    <w:uiPriority w:val="0"/>
    <w:rPr>
      <w:rFonts w:ascii="方正小标宋简体" w:hAnsi="楷体" w:eastAsia="方正小标宋简体" w:cs="楷体"/>
      <w:b/>
      <w:bCs/>
      <w:kern w:val="2"/>
      <w:sz w:val="36"/>
      <w:szCs w:val="36"/>
    </w:rPr>
  </w:style>
  <w:style w:type="character" w:customStyle="1" w:styleId="22">
    <w:name w:val="列出段落 Char"/>
    <w:basedOn w:val="15"/>
    <w:link w:val="19"/>
    <w:uiPriority w:val="99"/>
    <w:rPr>
      <w:kern w:val="2"/>
      <w:sz w:val="21"/>
    </w:rPr>
  </w:style>
  <w:style w:type="table" w:customStyle="1" w:styleId="23">
    <w:name w:val="网格型1"/>
    <w:basedOn w:val="13"/>
    <w:uiPriority w:val="0"/>
    <w:pPr>
      <w:widowControl w:val="0"/>
      <w:jc w:val="both"/>
    </w:pPr>
    <w:rPr>
      <w:rFonts w:asciiTheme="minorHAnsi" w:hAnsiTheme="minorHAnsi" w:eastAsiaTheme="minorEastAsia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">
    <w:name w:val="网格型2"/>
    <w:basedOn w:val="13"/>
    <w:qFormat/>
    <w:uiPriority w:val="0"/>
    <w:pPr>
      <w:widowControl w:val="0"/>
      <w:jc w:val="both"/>
    </w:pPr>
    <w:rPr>
      <w:rFonts w:asciiTheme="minorHAnsi" w:hAnsiTheme="minorHAnsi" w:eastAsiaTheme="minorEastAsia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5">
    <w:name w:val="日期 Char"/>
    <w:basedOn w:val="15"/>
    <w:link w:val="5"/>
    <w:qFormat/>
    <w:uiPriority w:val="0"/>
    <w:rPr>
      <w:kern w:val="2"/>
      <w:sz w:val="21"/>
    </w:rPr>
  </w:style>
  <w:style w:type="character" w:customStyle="1" w:styleId="26">
    <w:name w:val="批注框文本 Char"/>
    <w:basedOn w:val="15"/>
    <w:link w:val="6"/>
    <w:qFormat/>
    <w:uiPriority w:val="0"/>
    <w:rPr>
      <w:kern w:val="2"/>
      <w:sz w:val="18"/>
      <w:szCs w:val="18"/>
    </w:rPr>
  </w:style>
  <w:style w:type="character" w:customStyle="1" w:styleId="27">
    <w:name w:val="标题 Char"/>
    <w:basedOn w:val="15"/>
    <w:link w:val="12"/>
    <w:uiPriority w:val="0"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28">
    <w:name w:val="标题 2 Char"/>
    <w:basedOn w:val="15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9">
    <w:name w:val="二级"/>
    <w:basedOn w:val="19"/>
    <w:link w:val="30"/>
    <w:qFormat/>
    <w:uiPriority w:val="0"/>
    <w:pPr>
      <w:numPr>
        <w:ilvl w:val="0"/>
        <w:numId w:val="3"/>
      </w:numPr>
      <w:ind w:firstLine="0" w:firstLineChars="0"/>
      <w:outlineLvl w:val="1"/>
    </w:pPr>
  </w:style>
  <w:style w:type="character" w:customStyle="1" w:styleId="30">
    <w:name w:val="二级 Char"/>
    <w:basedOn w:val="22"/>
    <w:link w:val="29"/>
    <w:qFormat/>
    <w:uiPriority w:val="0"/>
    <w:rPr>
      <w:rFonts w:ascii="仿宋_GB2312" w:eastAsia="仿宋_GB2312"/>
      <w:kern w:val="2"/>
      <w:sz w:val="28"/>
      <w:szCs w:val="28"/>
    </w:rPr>
  </w:style>
  <w:style w:type="character" w:customStyle="1" w:styleId="31">
    <w:name w:val="标题 3 Char"/>
    <w:basedOn w:val="15"/>
    <w:link w:val="4"/>
    <w:qFormat/>
    <w:uiPriority w:val="0"/>
    <w:rPr>
      <w:rFonts w:ascii="仿宋_GB2312" w:eastAsia="仿宋_GB2312"/>
      <w:b/>
      <w:bCs/>
      <w:kern w:val="2"/>
      <w:sz w:val="32"/>
      <w:szCs w:val="32"/>
    </w:rPr>
  </w:style>
  <w:style w:type="paragraph" w:customStyle="1" w:styleId="32">
    <w:name w:val="表格"/>
    <w:basedOn w:val="1"/>
    <w:link w:val="33"/>
    <w:qFormat/>
    <w:uiPriority w:val="0"/>
    <w:pPr>
      <w:ind w:firstLine="0" w:firstLineChars="0"/>
      <w:jc w:val="center"/>
    </w:pPr>
  </w:style>
  <w:style w:type="character" w:customStyle="1" w:styleId="33">
    <w:name w:val="表格 Char"/>
    <w:basedOn w:val="15"/>
    <w:link w:val="32"/>
    <w:qFormat/>
    <w:uiPriority w:val="0"/>
    <w:rPr>
      <w:rFonts w:ascii="仿宋_GB2312" w:eastAsia="仿宋_GB2312"/>
      <w:kern w:val="2"/>
      <w:sz w:val="28"/>
      <w:szCs w:val="28"/>
    </w:rPr>
  </w:style>
  <w:style w:type="character" w:customStyle="1" w:styleId="34">
    <w:name w:val="页脚 Char"/>
    <w:basedOn w:val="15"/>
    <w:link w:val="7"/>
    <w:qFormat/>
    <w:uiPriority w:val="99"/>
    <w:rPr>
      <w:rFonts w:ascii="仿宋_GB2312" w:eastAsia="仿宋_GB2312"/>
      <w:kern w:val="2"/>
      <w:sz w:val="18"/>
      <w:szCs w:val="28"/>
    </w:rPr>
  </w:style>
  <w:style w:type="paragraph" w:customStyle="1" w:styleId="35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bCs/>
      <w:color w:val="2E75B6" w:themeColor="accent1" w:themeShade="BF"/>
      <w:kern w:val="0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3.png"/><Relationship Id="rId15" Type="http://schemas.openxmlformats.org/officeDocument/2006/relationships/theme" Target="theme/theme1.xml"/><Relationship Id="rId14" Type="http://schemas.openxmlformats.org/officeDocument/2006/relationships/footer" Target="footer4.xml"/><Relationship Id="rId13" Type="http://schemas.openxmlformats.org/officeDocument/2006/relationships/header" Target="header6.xml"/><Relationship Id="rId12" Type="http://schemas.openxmlformats.org/officeDocument/2006/relationships/header" Target="header5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4"/>
    <customShpInfo spid="_x0000_s3075"/>
    <customShpInfo spid="_x0000_s3073"/>
    <customShpInfo spid="_x0000_s3077"/>
    <customShpInfo spid="_x0000_s3078"/>
    <customShpInfo spid="_x0000_s3076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F420944-094F-4CD2-B33F-8EC26924A5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563</Words>
  <Characters>3212</Characters>
  <Lines>26</Lines>
  <Paragraphs>7</Paragraphs>
  <TotalTime>78</TotalTime>
  <ScaleCrop>false</ScaleCrop>
  <LinksUpToDate>false</LinksUpToDate>
  <CharactersWithSpaces>3768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2021-03-12T04:33:00Z</dcterms:created>
  <dc:creator>acer</dc:creator>
  <cp:lastModifiedBy>连选</cp:lastModifiedBy>
  <cp:lastPrinted>2021-03-13T02:59:00Z</cp:lastPrinted>
  <dcterms:modified xsi:type="dcterms:W3CDTF">2021-03-30T02:11:18Z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501AEE729ECA4012AA8FE62CB60C3566</vt:lpwstr>
  </property>
</Properties>
</file>